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DDC" w:rsidRDefault="00E35B33" w:rsidP="001224B6">
      <w:pPr>
        <w:jc w:val="center"/>
        <w:rPr>
          <w:color w:val="00B050"/>
          <w:sz w:val="32"/>
        </w:rPr>
      </w:pPr>
      <w:r>
        <w:rPr>
          <w:color w:val="A6A6A6" w:themeColor="background1" w:themeShade="A6"/>
          <w:sz w:val="32"/>
        </w:rPr>
        <w:t>Bodenfruchtbarkeit</w:t>
      </w:r>
      <w:r w:rsidR="001224B6">
        <w:rPr>
          <w:rFonts w:cs="Arial"/>
          <w:color w:val="A6A6A6" w:themeColor="background1" w:themeShade="A6"/>
          <w:sz w:val="32"/>
        </w:rPr>
        <w:t>│</w:t>
      </w:r>
      <w:r>
        <w:rPr>
          <w:color w:val="00B050"/>
          <w:sz w:val="32"/>
        </w:rPr>
        <w:t xml:space="preserve"> </w:t>
      </w:r>
      <w:r w:rsidR="00066AFB">
        <w:rPr>
          <w:color w:val="00B050"/>
          <w:sz w:val="32"/>
        </w:rPr>
        <w:t>Böden in Sachsen</w:t>
      </w:r>
    </w:p>
    <w:p w:rsidR="00454720" w:rsidRDefault="00454720" w:rsidP="00454720"/>
    <w:p w:rsidR="00AB37E3" w:rsidRDefault="006239F1" w:rsidP="001224B6">
      <w:r w:rsidRPr="001224B6">
        <w:t>Die Landwirtschaft, deren Strukturen und die wirtschaftlichen Bedingungen werden zu einem großen Teil von den natürlichen Standortfaktoren b</w:t>
      </w:r>
      <w:r w:rsidRPr="001224B6">
        <w:t>e</w:t>
      </w:r>
      <w:r w:rsidRPr="001224B6">
        <w:t>stimmt. So sind die Bodeneigenschaften, das Klima und das Relief entscheidende Faktoren für die Ausbildung von Produktionsverfahren und besti</w:t>
      </w:r>
      <w:r w:rsidRPr="001224B6">
        <w:t>m</w:t>
      </w:r>
      <w:r w:rsidRPr="001224B6">
        <w:t xml:space="preserve">men maßgeblich die Anbaustruktur sowie die Ertragsfähigkeit und somit die Wirtschaftlichkeit der Standorte. </w:t>
      </w:r>
    </w:p>
    <w:p w:rsidR="00D81A3D" w:rsidRDefault="00D81A3D" w:rsidP="001224B6"/>
    <w:p w:rsidR="00D81A3D" w:rsidRPr="00D81A3D" w:rsidRDefault="00D81A3D" w:rsidP="001224B6">
      <w:pPr>
        <w:rPr>
          <w:b/>
        </w:rPr>
      </w:pPr>
      <w:r>
        <w:rPr>
          <w:b/>
        </w:rPr>
        <w:t>Klimatische Verhältnisse in Sac</w:t>
      </w:r>
      <w:r>
        <w:rPr>
          <w:b/>
        </w:rPr>
        <w:t>h</w:t>
      </w:r>
      <w:r>
        <w:rPr>
          <w:b/>
        </w:rPr>
        <w:t xml:space="preserve">sen </w:t>
      </w:r>
    </w:p>
    <w:p w:rsidR="001224B6" w:rsidRDefault="00D81A3D" w:rsidP="001224B6">
      <w:r>
        <w:rPr>
          <w:noProof/>
          <w:lang w:eastAsia="de-DE"/>
        </w:rPr>
        <mc:AlternateContent>
          <mc:Choice Requires="wps">
            <w:drawing>
              <wp:anchor distT="0" distB="0" distL="114300" distR="114300" simplePos="0" relativeHeight="251671552" behindDoc="0" locked="0" layoutInCell="1" allowOverlap="1" wp14:editId="36B11C9B">
                <wp:simplePos x="0" y="0"/>
                <wp:positionH relativeFrom="column">
                  <wp:posOffset>5283200</wp:posOffset>
                </wp:positionH>
                <wp:positionV relativeFrom="paragraph">
                  <wp:posOffset>2905125</wp:posOffset>
                </wp:positionV>
                <wp:extent cx="2374265" cy="1403985"/>
                <wp:effectExtent l="0" t="0" r="15240" b="139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81A3D" w:rsidRPr="00D81A3D" w:rsidRDefault="002B069E" w:rsidP="00D81A3D">
                            <w:r>
                              <w:t xml:space="preserve">Quelle: </w:t>
                            </w:r>
                            <w:r w:rsidR="00D81A3D" w:rsidRPr="00D81A3D">
                              <w:t>Landesamt für Umwelt, Geologie und Landwir</w:t>
                            </w:r>
                            <w:r w:rsidR="00D81A3D" w:rsidRPr="00D81A3D">
                              <w:t>t</w:t>
                            </w:r>
                            <w:r w:rsidR="00D81A3D" w:rsidRPr="00D81A3D">
                              <w:t>schaft (1999): Die landwirtschaftlichen Vergleichsgebiete im Freistaat Sachsen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16pt;margin-top:228.7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">
                <v:textbox style="mso-fit-shape-to-text:t">
                  <w:txbxContent>
                    <w:p w:rsidR="00D81A3D" w:rsidRPr="00D81A3D" w:rsidRDefault="002B069E" w:rsidP="00D81A3D">
                      <w:r>
                        <w:t xml:space="preserve">Quelle: </w:t>
                      </w:r>
                      <w:r w:rsidR="00D81A3D" w:rsidRPr="00D81A3D">
                        <w:t>Landesamt für Umwelt, Geologie und Landwir</w:t>
                      </w:r>
                      <w:r w:rsidR="00D81A3D" w:rsidRPr="00D81A3D">
                        <w:t>t</w:t>
                      </w:r>
                      <w:r w:rsidR="00D81A3D" w:rsidRPr="00D81A3D">
                        <w:t>schaft (1999): Die landwirtschaftlichen Vergleichsgebiete im Freistaat Sachsen</w:t>
                      </w:r>
                    </w:p>
                  </w:txbxContent>
                </v:textbox>
              </v:shape>
            </w:pict>
          </mc:Fallback>
        </mc:AlternateContent>
      </w:r>
      <w:r w:rsidRPr="00D81A3D">
        <w:rPr>
          <w:noProof/>
          <w:lang w:eastAsia="de-DE"/>
        </w:rPr>
        <w:drawing>
          <wp:inline distT="0" distB="0" distL="0" distR="0" wp14:anchorId="4AF5C606" wp14:editId="51BAA733">
            <wp:extent cx="5047200" cy="3913200"/>
            <wp:effectExtent l="0" t="0" r="127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200" cy="3913200"/>
                    </a:xfrm>
                    <a:prstGeom prst="rect">
                      <a:avLst/>
                    </a:prstGeom>
                    <a:noFill/>
                    <a:ln>
                      <a:noFill/>
                    </a:ln>
                    <a:effectLst/>
                    <a:extLst/>
                  </pic:spPr>
                </pic:pic>
              </a:graphicData>
            </a:graphic>
          </wp:inline>
        </w:drawing>
      </w:r>
    </w:p>
    <w:p w:rsidR="007A1527" w:rsidRDefault="007A1527" w:rsidP="001224B6">
      <w:pPr>
        <w:rPr>
          <w:b/>
        </w:rPr>
      </w:pPr>
    </w:p>
    <w:p w:rsidR="007A1527" w:rsidRDefault="007A1527" w:rsidP="001224B6">
      <w:pPr>
        <w:rPr>
          <w:b/>
        </w:rPr>
      </w:pPr>
    </w:p>
    <w:p w:rsidR="00D81A3D" w:rsidRDefault="00C27701" w:rsidP="001224B6">
      <w:pPr>
        <w:rPr>
          <w:b/>
        </w:rPr>
      </w:pPr>
      <w:r>
        <w:rPr>
          <w:b/>
        </w:rPr>
        <w:lastRenderedPageBreak/>
        <w:t>Phänologische Grunddaten für Sachsen</w:t>
      </w:r>
    </w:p>
    <w:p w:rsidR="00C27701" w:rsidRPr="00C27701" w:rsidRDefault="00C27701" w:rsidP="001224B6">
      <w:pPr>
        <w:rPr>
          <w:b/>
        </w:rPr>
      </w:pPr>
    </w:p>
    <w:p w:rsidR="00C27701" w:rsidRDefault="002522AC" w:rsidP="00C27701">
      <w:pPr>
        <w:jc w:val="left"/>
      </w:pPr>
      <w:r>
        <w:rPr>
          <w:noProof/>
          <w:lang w:eastAsia="de-DE"/>
        </w:rPr>
        <mc:AlternateContent>
          <mc:Choice Requires="wps">
            <w:drawing>
              <wp:anchor distT="0" distB="0" distL="114300" distR="114300" simplePos="0" relativeHeight="251675648" behindDoc="0" locked="0" layoutInCell="1" allowOverlap="1" wp14:anchorId="2C77CFEC" wp14:editId="0B7049AF">
                <wp:simplePos x="0" y="0"/>
                <wp:positionH relativeFrom="column">
                  <wp:posOffset>5721350</wp:posOffset>
                </wp:positionH>
                <wp:positionV relativeFrom="paragraph">
                  <wp:posOffset>1159510</wp:posOffset>
                </wp:positionV>
                <wp:extent cx="2374265" cy="1403985"/>
                <wp:effectExtent l="0" t="0" r="4445"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0">
                          <a:noFill/>
                          <a:miter lim="800000"/>
                          <a:headEnd/>
                          <a:tailEnd/>
                        </a:ln>
                      </wps:spPr>
                      <wps:txbx>
                        <w:txbxContent>
                          <w:p w:rsidR="007641ED" w:rsidRPr="002522AC" w:rsidRDefault="00FA4D0F" w:rsidP="002522AC">
                            <w:pPr>
                              <w:numPr>
                                <w:ilvl w:val="0"/>
                                <w:numId w:val="3"/>
                              </w:numPr>
                            </w:pPr>
                            <w:r w:rsidRPr="002522AC">
                              <w:t>Normaler Vegetationsbeginn</w:t>
                            </w:r>
                          </w:p>
                          <w:p w:rsidR="007641ED" w:rsidRPr="002522AC" w:rsidRDefault="00FA4D0F" w:rsidP="002522AC">
                            <w:pPr>
                              <w:numPr>
                                <w:ilvl w:val="0"/>
                                <w:numId w:val="3"/>
                              </w:numPr>
                            </w:pPr>
                            <w:r w:rsidRPr="002522AC">
                              <w:t>gering verspäteter Vegetationsbeginn</w:t>
                            </w:r>
                          </w:p>
                          <w:p w:rsidR="007641ED" w:rsidRPr="002522AC" w:rsidRDefault="00FA4D0F" w:rsidP="002522AC">
                            <w:pPr>
                              <w:numPr>
                                <w:ilvl w:val="0"/>
                                <w:numId w:val="3"/>
                              </w:numPr>
                            </w:pPr>
                            <w:r w:rsidRPr="002522AC">
                              <w:t>normaler Vegetationsbeginn mit Frühdruschg</w:t>
                            </w:r>
                            <w:r w:rsidRPr="002522AC">
                              <w:t>e</w:t>
                            </w:r>
                            <w:r w:rsidRPr="002522AC">
                              <w:t>biet</w:t>
                            </w:r>
                          </w:p>
                          <w:p w:rsidR="002522AC" w:rsidRDefault="00FA4D0F" w:rsidP="002522AC">
                            <w:pPr>
                              <w:numPr>
                                <w:ilvl w:val="0"/>
                                <w:numId w:val="3"/>
                              </w:numPr>
                            </w:pPr>
                            <w:r w:rsidRPr="002522AC">
                              <w:t>stark  verspäteter Vegetationsbeginn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50.5pt;margin-top:91.3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" stroked="f" strokeweight="0">
                <v:textbox style="mso-fit-shape-to-text:t">
                  <w:txbxContent>
                    <w:p w:rsidR="007641ED" w:rsidRPr="002522AC" w:rsidRDefault="00FA4D0F" w:rsidP="002522AC">
                      <w:pPr>
                        <w:numPr>
                          <w:ilvl w:val="0"/>
                          <w:numId w:val="3"/>
                        </w:numPr>
                      </w:pPr>
                      <w:r w:rsidRPr="002522AC">
                        <w:t>Normaler Vegetationsbeginn</w:t>
                      </w:r>
                    </w:p>
                    <w:p w:rsidR="007641ED" w:rsidRPr="002522AC" w:rsidRDefault="00FA4D0F" w:rsidP="002522AC">
                      <w:pPr>
                        <w:numPr>
                          <w:ilvl w:val="0"/>
                          <w:numId w:val="3"/>
                        </w:numPr>
                      </w:pPr>
                      <w:r w:rsidRPr="002522AC">
                        <w:t>gering verspäteter Vegetationsbeginn</w:t>
                      </w:r>
                    </w:p>
                    <w:p w:rsidR="007641ED" w:rsidRPr="002522AC" w:rsidRDefault="00FA4D0F" w:rsidP="002522AC">
                      <w:pPr>
                        <w:numPr>
                          <w:ilvl w:val="0"/>
                          <w:numId w:val="3"/>
                        </w:numPr>
                      </w:pPr>
                      <w:r w:rsidRPr="002522AC">
                        <w:t>normaler Vegetationsbeginn mit Frühdruschg</w:t>
                      </w:r>
                      <w:r w:rsidRPr="002522AC">
                        <w:t>e</w:t>
                      </w:r>
                      <w:r w:rsidRPr="002522AC">
                        <w:t>biet</w:t>
                      </w:r>
                    </w:p>
                    <w:p w:rsidR="002522AC" w:rsidRDefault="00FA4D0F" w:rsidP="002522AC">
                      <w:pPr>
                        <w:numPr>
                          <w:ilvl w:val="0"/>
                          <w:numId w:val="3"/>
                        </w:numPr>
                      </w:pPr>
                      <w:r w:rsidRPr="002522AC">
                        <w:t>stark  verspäteter Vegetationsbeginn</w:t>
                      </w:r>
                    </w:p>
                  </w:txbxContent>
                </v:textbox>
              </v:shape>
            </w:pict>
          </mc:Fallback>
        </mc:AlternateContent>
      </w:r>
      <w:r>
        <w:rPr>
          <w:noProof/>
          <w:lang w:eastAsia="de-DE"/>
        </w:rPr>
        <mc:AlternateContent>
          <mc:Choice Requires="wps">
            <w:drawing>
              <wp:anchor distT="0" distB="0" distL="114300" distR="114300" simplePos="0" relativeHeight="251673600" behindDoc="0" locked="0" layoutInCell="1" allowOverlap="1" wp14:anchorId="23D91FA2" wp14:editId="5B9F4FAF">
                <wp:simplePos x="0" y="0"/>
                <wp:positionH relativeFrom="column">
                  <wp:posOffset>5721350</wp:posOffset>
                </wp:positionH>
                <wp:positionV relativeFrom="paragraph">
                  <wp:posOffset>3467100</wp:posOffset>
                </wp:positionV>
                <wp:extent cx="2374265" cy="1403985"/>
                <wp:effectExtent l="0" t="0" r="23495" b="1524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522AC" w:rsidRDefault="002B069E">
                            <w:r>
                              <w:t xml:space="preserve">Quelle: </w:t>
                            </w:r>
                            <w:r w:rsidR="002522AC" w:rsidRPr="002522AC">
                              <w:t>Landesamt für Umwelt, Geologie und Landwir</w:t>
                            </w:r>
                            <w:r w:rsidR="002522AC" w:rsidRPr="002522AC">
                              <w:t>t</w:t>
                            </w:r>
                            <w:r w:rsidR="002522AC" w:rsidRPr="002522AC">
                              <w:t>schaft (1999): Die landwirtschaftlichen Vergleichsgebiete im Freistaat Sachsen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50.5pt;margin-top:273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">
                <v:textbox style="mso-fit-shape-to-text:t">
                  <w:txbxContent>
                    <w:p w:rsidR="002522AC" w:rsidRDefault="002B069E">
                      <w:r>
                        <w:t xml:space="preserve">Quelle: </w:t>
                      </w:r>
                      <w:r w:rsidR="002522AC" w:rsidRPr="002522AC">
                        <w:t>Landesamt für Umwelt, Geologie und Landwir</w:t>
                      </w:r>
                      <w:r w:rsidR="002522AC" w:rsidRPr="002522AC">
                        <w:t>t</w:t>
                      </w:r>
                      <w:r w:rsidR="002522AC" w:rsidRPr="002522AC">
                        <w:t>schaft (1999): Die landwirtschaftlichen Vergleichsgebiete im Freistaat Sachsen</w:t>
                      </w:r>
                    </w:p>
                  </w:txbxContent>
                </v:textbox>
              </v:shape>
            </w:pict>
          </mc:Fallback>
        </mc:AlternateContent>
      </w:r>
      <w:r w:rsidR="00C27701" w:rsidRPr="00C27701">
        <w:rPr>
          <w:noProof/>
          <w:lang w:eastAsia="de-DE"/>
        </w:rPr>
        <w:drawing>
          <wp:inline distT="0" distB="0" distL="0" distR="0" wp14:anchorId="09C0D182" wp14:editId="45320F0A">
            <wp:extent cx="5090400" cy="3877200"/>
            <wp:effectExtent l="0" t="0" r="0" b="9525"/>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4868" t="37228" r="12754" b="22369"/>
                    <a:stretch/>
                  </pic:blipFill>
                  <pic:spPr bwMode="auto">
                    <a:xfrm>
                      <a:off x="0" y="0"/>
                      <a:ext cx="5090400" cy="3877200"/>
                    </a:xfrm>
                    <a:prstGeom prst="rect">
                      <a:avLst/>
                    </a:prstGeom>
                    <a:noFill/>
                    <a:ln>
                      <a:noFill/>
                    </a:ln>
                    <a:extLst/>
                  </pic:spPr>
                </pic:pic>
              </a:graphicData>
            </a:graphic>
          </wp:inline>
        </w:drawing>
      </w:r>
    </w:p>
    <w:p w:rsidR="00C27701" w:rsidRDefault="00C27701" w:rsidP="00C27701">
      <w:pPr>
        <w:jc w:val="left"/>
      </w:pPr>
    </w:p>
    <w:p w:rsidR="00511657" w:rsidRDefault="00511657" w:rsidP="00C27701">
      <w:pPr>
        <w:jc w:val="left"/>
      </w:pPr>
    </w:p>
    <w:p w:rsidR="00511657" w:rsidRDefault="00511657" w:rsidP="00C27701">
      <w:pPr>
        <w:jc w:val="left"/>
      </w:pPr>
    </w:p>
    <w:p w:rsidR="00511657" w:rsidRDefault="00511657" w:rsidP="00C27701">
      <w:pPr>
        <w:jc w:val="left"/>
      </w:pPr>
    </w:p>
    <w:p w:rsidR="00511657" w:rsidRDefault="00511657" w:rsidP="00C27701">
      <w:pPr>
        <w:jc w:val="left"/>
      </w:pPr>
    </w:p>
    <w:p w:rsidR="00511657" w:rsidRDefault="00511657" w:rsidP="00C27701">
      <w:pPr>
        <w:jc w:val="left"/>
      </w:pPr>
    </w:p>
    <w:p w:rsidR="00511657" w:rsidRDefault="00511657" w:rsidP="00C27701">
      <w:pPr>
        <w:jc w:val="left"/>
      </w:pPr>
    </w:p>
    <w:p w:rsidR="002522AC" w:rsidRDefault="00511657" w:rsidP="001224B6">
      <w:pPr>
        <w:rPr>
          <w:noProof/>
        </w:rPr>
      </w:pPr>
      <w:r>
        <w:rPr>
          <w:noProof/>
        </w:rPr>
        <w:lastRenderedPageBreak/>
        <w:t xml:space="preserve">Die </w:t>
      </w:r>
      <w:r w:rsidR="002B069E">
        <w:rPr>
          <w:noProof/>
        </w:rPr>
        <w:t>M</w:t>
      </w:r>
      <w:r>
        <w:rPr>
          <w:noProof/>
        </w:rPr>
        <w:t xml:space="preserve">ittelgebirgslagen unterscheiden sich klimatisch von den Tiefland- und Hügellandgebieten. Für die Vegetation sind nach </w:t>
      </w:r>
      <w:r w:rsidRPr="002B069E">
        <w:rPr>
          <w:smallCaps/>
          <w:noProof/>
        </w:rPr>
        <w:t>Maerker &amp; Paulig</w:t>
      </w:r>
      <w:r>
        <w:rPr>
          <w:noProof/>
        </w:rPr>
        <w:t xml:space="preserve"> (1993) entscheidend:</w:t>
      </w:r>
    </w:p>
    <w:p w:rsidR="00511657" w:rsidRDefault="00511657" w:rsidP="00511657">
      <w:pPr>
        <w:pStyle w:val="Listenabsatz"/>
        <w:numPr>
          <w:ilvl w:val="0"/>
          <w:numId w:val="4"/>
        </w:numPr>
      </w:pPr>
      <w:r>
        <w:t>die geringeren durchschnittlichen Jahrestemperaturen</w:t>
      </w:r>
    </w:p>
    <w:p w:rsidR="00511657" w:rsidRDefault="00511657" w:rsidP="00511657">
      <w:pPr>
        <w:pStyle w:val="Listenabsatz"/>
        <w:numPr>
          <w:ilvl w:val="0"/>
          <w:numId w:val="4"/>
        </w:numPr>
      </w:pPr>
      <w:r>
        <w:t>die kürzere Vegetationsperiode</w:t>
      </w:r>
    </w:p>
    <w:p w:rsidR="00511657" w:rsidRDefault="00511657" w:rsidP="00511657">
      <w:pPr>
        <w:pStyle w:val="Listenabsatz"/>
        <w:numPr>
          <w:ilvl w:val="0"/>
          <w:numId w:val="4"/>
        </w:numPr>
      </w:pPr>
      <w:r>
        <w:t>die höheren jährlichen Niederschlagssummen</w:t>
      </w:r>
    </w:p>
    <w:p w:rsidR="00511657" w:rsidRDefault="00511657" w:rsidP="00511657">
      <w:pPr>
        <w:pStyle w:val="Listenabsatz"/>
        <w:numPr>
          <w:ilvl w:val="0"/>
          <w:numId w:val="4"/>
        </w:numPr>
      </w:pPr>
      <w:r>
        <w:t>die höhere Intensität der Niederschläge</w:t>
      </w:r>
    </w:p>
    <w:p w:rsidR="00511657" w:rsidRDefault="00511657" w:rsidP="00511657">
      <w:pPr>
        <w:pStyle w:val="Listenabsatz"/>
        <w:numPr>
          <w:ilvl w:val="0"/>
          <w:numId w:val="4"/>
        </w:numPr>
      </w:pPr>
      <w:r>
        <w:t>die längere Dauer der Schneebedeckung</w:t>
      </w:r>
    </w:p>
    <w:p w:rsidR="00511657" w:rsidRDefault="00511657" w:rsidP="00511657">
      <w:pPr>
        <w:pStyle w:val="Listenabsatz"/>
        <w:numPr>
          <w:ilvl w:val="0"/>
          <w:numId w:val="4"/>
        </w:numPr>
      </w:pPr>
      <w:r>
        <w:t>die starke höhenlagebedingte Differenzierung</w:t>
      </w:r>
    </w:p>
    <w:p w:rsidR="00511657" w:rsidRDefault="00511657" w:rsidP="00511657">
      <w:pPr>
        <w:pStyle w:val="Listenabsatz"/>
        <w:numPr>
          <w:ilvl w:val="0"/>
          <w:numId w:val="4"/>
        </w:numPr>
      </w:pPr>
      <w:r>
        <w:t>die kleinräumige orographische Modifizierung der Niederschlagsverteilung</w:t>
      </w:r>
    </w:p>
    <w:p w:rsidR="002522AC" w:rsidRDefault="002522AC" w:rsidP="001224B6"/>
    <w:p w:rsidR="002522AC" w:rsidRDefault="00511657" w:rsidP="001224B6">
      <w:r>
        <w:t>Der Vegetationsverlauf wird nachhaltig durch den jahreszeitlichen Temperaturverlauf beeinflusst. Dabei spielen auch der Beginn und das Ende des Auftretens von Frösten eine große Rolle</w:t>
      </w:r>
      <w:r w:rsidR="00712AA0">
        <w:t>.</w:t>
      </w:r>
    </w:p>
    <w:p w:rsidR="00712AA0" w:rsidRDefault="00712AA0" w:rsidP="00712AA0">
      <w:pPr>
        <w:pStyle w:val="Listenabsatz"/>
        <w:numPr>
          <w:ilvl w:val="0"/>
          <w:numId w:val="4"/>
        </w:numPr>
      </w:pPr>
      <w:r>
        <w:rPr>
          <w:b/>
        </w:rPr>
        <w:t xml:space="preserve">Eistage: </w:t>
      </w:r>
      <w:r>
        <w:rPr>
          <w:b/>
        </w:rPr>
        <w:tab/>
      </w:r>
      <w:r w:rsidR="00F32F21">
        <w:rPr>
          <w:b/>
        </w:rPr>
        <w:tab/>
      </w:r>
      <w:r w:rsidR="00F32F21">
        <w:rPr>
          <w:b/>
        </w:rPr>
        <w:tab/>
      </w:r>
      <w:r>
        <w:t>Maximum von 0°C wird nicht überschritten</w:t>
      </w:r>
    </w:p>
    <w:p w:rsidR="00712AA0" w:rsidRDefault="00712AA0" w:rsidP="00712AA0">
      <w:pPr>
        <w:pStyle w:val="Listenabsatz"/>
        <w:numPr>
          <w:ilvl w:val="0"/>
          <w:numId w:val="4"/>
        </w:numPr>
      </w:pPr>
      <w:r>
        <w:rPr>
          <w:b/>
        </w:rPr>
        <w:t>Frosttage:</w:t>
      </w:r>
      <w:r>
        <w:t xml:space="preserve"> </w:t>
      </w:r>
      <w:r>
        <w:tab/>
      </w:r>
      <w:r w:rsidR="00F32F21">
        <w:tab/>
      </w:r>
      <w:r w:rsidR="00F32F21">
        <w:tab/>
      </w:r>
      <w:r>
        <w:t xml:space="preserve">Minimum von 0°C wird unterschritten </w:t>
      </w:r>
    </w:p>
    <w:p w:rsidR="00F32F21" w:rsidRPr="00F32F21" w:rsidRDefault="00F32F21" w:rsidP="00712AA0">
      <w:pPr>
        <w:pStyle w:val="Listenabsatz"/>
        <w:numPr>
          <w:ilvl w:val="0"/>
          <w:numId w:val="4"/>
        </w:numPr>
        <w:rPr>
          <w:b/>
        </w:rPr>
      </w:pPr>
      <w:r w:rsidRPr="00F32F21">
        <w:rPr>
          <w:b/>
        </w:rPr>
        <w:t xml:space="preserve">Vegetationsperiode: </w:t>
      </w:r>
      <w:r>
        <w:rPr>
          <w:b/>
        </w:rPr>
        <w:tab/>
      </w:r>
      <w:r>
        <w:t>der rhythmisch sich wiederholende Jahresteil, in dem die Pflanze aktiv wächst und sich entfaltet</w:t>
      </w:r>
    </w:p>
    <w:p w:rsidR="00F32F21" w:rsidRPr="00F32F21" w:rsidRDefault="00F32F21" w:rsidP="00F32F21">
      <w:pPr>
        <w:pStyle w:val="Listenabsatz"/>
        <w:numPr>
          <w:ilvl w:val="1"/>
          <w:numId w:val="4"/>
        </w:numPr>
        <w:rPr>
          <w:b/>
        </w:rPr>
      </w:pPr>
      <w:r>
        <w:rPr>
          <w:b/>
        </w:rPr>
        <w:t xml:space="preserve">Vegetationsperiode I: </w:t>
      </w:r>
      <w:r>
        <w:rPr>
          <w:b/>
        </w:rPr>
        <w:tab/>
      </w:r>
      <w:r>
        <w:t>1. April bis 30. Juni</w:t>
      </w:r>
    </w:p>
    <w:p w:rsidR="00F32F21" w:rsidRDefault="00F32F21" w:rsidP="00F32F21">
      <w:pPr>
        <w:pStyle w:val="Listenabsatz"/>
        <w:numPr>
          <w:ilvl w:val="1"/>
          <w:numId w:val="4"/>
        </w:numPr>
      </w:pPr>
      <w:r>
        <w:rPr>
          <w:b/>
        </w:rPr>
        <w:t>Vegetationsperiode II:</w:t>
      </w:r>
      <w:r>
        <w:rPr>
          <w:b/>
        </w:rPr>
        <w:tab/>
      </w:r>
      <w:r w:rsidRPr="00F32F21">
        <w:t xml:space="preserve">1. Juli bis 30. September </w:t>
      </w:r>
    </w:p>
    <w:p w:rsidR="00F32F21" w:rsidRDefault="00F32F21" w:rsidP="00F32F21">
      <w:pPr>
        <w:pStyle w:val="Listenabsatz"/>
        <w:numPr>
          <w:ilvl w:val="0"/>
          <w:numId w:val="4"/>
        </w:numPr>
      </w:pPr>
      <w:r>
        <w:rPr>
          <w:b/>
        </w:rPr>
        <w:t>Vegetationsbeginn:</w:t>
      </w:r>
      <w:r>
        <w:tab/>
      </w:r>
      <w:r>
        <w:tab/>
      </w:r>
      <w:r w:rsidR="00FA4D0F">
        <w:t>der Tag, an dem die mittlere Tagestemperatur von 5 °C erreicht bzw. überschritten wird</w:t>
      </w:r>
    </w:p>
    <w:p w:rsidR="00FA4D0F" w:rsidRPr="00F32F21" w:rsidRDefault="00FA4D0F" w:rsidP="00F32F21">
      <w:pPr>
        <w:pStyle w:val="Listenabsatz"/>
        <w:numPr>
          <w:ilvl w:val="0"/>
          <w:numId w:val="4"/>
        </w:numPr>
      </w:pPr>
      <w:r>
        <w:rPr>
          <w:b/>
        </w:rPr>
        <w:t>Vegetationsende:</w:t>
      </w:r>
      <w:r>
        <w:tab/>
      </w:r>
      <w:r>
        <w:tab/>
        <w:t>der Tag, an dem die mittlere Tagestemperatur von 5 °C unterschritten wird</w:t>
      </w:r>
    </w:p>
    <w:p w:rsidR="00FA4D0F" w:rsidRPr="00FA4D0F" w:rsidRDefault="00FA4D0F" w:rsidP="00FA4D0F">
      <w:pPr>
        <w:pStyle w:val="Beschriftung"/>
        <w:keepNext/>
        <w:rPr>
          <w:color w:val="auto"/>
          <w:sz w:val="22"/>
        </w:rPr>
      </w:pPr>
      <w:r>
        <w:rPr>
          <w:color w:val="auto"/>
          <w:sz w:val="22"/>
        </w:rPr>
        <w:lastRenderedPageBreak/>
        <w:t>Typische Zeiträume innerhalb eines Jahres</w:t>
      </w:r>
    </w:p>
    <w:p w:rsidR="00FA4D0F" w:rsidRDefault="00F32F21" w:rsidP="00FA4D0F">
      <w:pPr>
        <w:keepNext/>
      </w:pPr>
      <w:r>
        <w:rPr>
          <w:noProof/>
          <w:lang w:eastAsia="de-DE"/>
        </w:rPr>
        <w:drawing>
          <wp:inline distT="0" distB="0" distL="0" distR="0" wp14:anchorId="0CC7B482" wp14:editId="64649C97">
            <wp:extent cx="8882380" cy="302387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2380" cy="3023870"/>
                    </a:xfrm>
                    <a:prstGeom prst="rect">
                      <a:avLst/>
                    </a:prstGeom>
                    <a:noFill/>
                  </pic:spPr>
                </pic:pic>
              </a:graphicData>
            </a:graphic>
          </wp:inline>
        </w:drawing>
      </w:r>
    </w:p>
    <w:p w:rsidR="00F32F21" w:rsidRPr="00FA4D0F" w:rsidRDefault="002B069E" w:rsidP="00FA4D0F">
      <w:pPr>
        <w:pStyle w:val="Beschriftung"/>
        <w:rPr>
          <w:b w:val="0"/>
          <w:color w:val="auto"/>
        </w:rPr>
      </w:pPr>
      <w:r>
        <w:rPr>
          <w:b w:val="0"/>
          <w:color w:val="auto"/>
        </w:rPr>
        <w:t xml:space="preserve">Quelle: </w:t>
      </w:r>
      <w:r w:rsidR="00FA4D0F">
        <w:rPr>
          <w:b w:val="0"/>
          <w:color w:val="auto"/>
        </w:rPr>
        <w:t>Landesamt für Umwelt, Landwirtschaft und Geologie  - Dr. Franke, Ref. 51</w:t>
      </w:r>
    </w:p>
    <w:p w:rsidR="002522AC" w:rsidRDefault="002522AC" w:rsidP="001224B6"/>
    <w:p w:rsidR="00FA4D0F" w:rsidRDefault="00FA4D0F" w:rsidP="001224B6"/>
    <w:p w:rsidR="00FA4D0F" w:rsidRDefault="00FA4D0F" w:rsidP="001224B6"/>
    <w:p w:rsidR="00FA4D0F" w:rsidRDefault="00FA4D0F" w:rsidP="001224B6"/>
    <w:p w:rsidR="00FA4D0F" w:rsidRDefault="00FA4D0F" w:rsidP="001224B6"/>
    <w:p w:rsidR="00FA4D0F" w:rsidRDefault="00FA4D0F" w:rsidP="001224B6"/>
    <w:p w:rsidR="00FA4D0F" w:rsidRDefault="00FA4D0F" w:rsidP="001224B6"/>
    <w:p w:rsidR="00FA4D0F" w:rsidRDefault="00FA4D0F" w:rsidP="001224B6"/>
    <w:p w:rsidR="00FA4D0F" w:rsidRDefault="00FA4D0F" w:rsidP="001224B6"/>
    <w:p w:rsidR="00FA4D0F" w:rsidRDefault="00FA4D0F" w:rsidP="001224B6"/>
    <w:p w:rsidR="00FA4D0F" w:rsidRDefault="00FA4D0F" w:rsidP="001224B6"/>
    <w:p w:rsidR="001224B6" w:rsidRDefault="001224B6" w:rsidP="001224B6">
      <w:pPr>
        <w:rPr>
          <w:b/>
        </w:rPr>
      </w:pPr>
      <w:r>
        <w:rPr>
          <w:b/>
        </w:rPr>
        <w:lastRenderedPageBreak/>
        <w:t>Vergleichsgebiet 1 – Lausitzer Heide- und Teichgebiet</w:t>
      </w:r>
    </w:p>
    <w:p w:rsidR="001224B6" w:rsidRPr="001224B6" w:rsidRDefault="001224B6" w:rsidP="001224B6"/>
    <w:p w:rsidR="001224B6" w:rsidRDefault="001224B6" w:rsidP="001224B6">
      <w:r>
        <w:rPr>
          <w:noProof/>
          <w:lang w:eastAsia="de-DE"/>
        </w:rPr>
        <w:drawing>
          <wp:anchor distT="0" distB="0" distL="114300" distR="114300" simplePos="0" relativeHeight="251658240" behindDoc="0" locked="0" layoutInCell="1" allowOverlap="1" wp14:anchorId="5D0C693E" wp14:editId="402E4ED5">
            <wp:simplePos x="0" y="0"/>
            <wp:positionH relativeFrom="column">
              <wp:posOffset>635</wp:posOffset>
            </wp:positionH>
            <wp:positionV relativeFrom="paragraph">
              <wp:posOffset>-3175</wp:posOffset>
            </wp:positionV>
            <wp:extent cx="3556800" cy="2516400"/>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1_rdax_413x292.jpg"/>
                    <pic:cNvPicPr/>
                  </pic:nvPicPr>
                  <pic:blipFill>
                    <a:blip r:embed="rId12">
                      <a:extLst>
                        <a:ext uri="{28A0092B-C50C-407E-A947-70E740481C1C}">
                          <a14:useLocalDpi xmlns:a14="http://schemas.microsoft.com/office/drawing/2010/main" val="0"/>
                        </a:ext>
                      </a:extLst>
                    </a:blip>
                    <a:stretch>
                      <a:fillRect/>
                    </a:stretch>
                  </pic:blipFill>
                  <pic:spPr>
                    <a:xfrm>
                      <a:off x="0" y="0"/>
                      <a:ext cx="3556800" cy="2516400"/>
                    </a:xfrm>
                    <a:prstGeom prst="rect">
                      <a:avLst/>
                    </a:prstGeom>
                  </pic:spPr>
                </pic:pic>
              </a:graphicData>
            </a:graphic>
            <wp14:sizeRelH relativeFrom="margin">
              <wp14:pctWidth>0</wp14:pctWidth>
            </wp14:sizeRelH>
            <wp14:sizeRelV relativeFrom="margin">
              <wp14:pctHeight>0</wp14:pctHeight>
            </wp14:sizeRelV>
          </wp:anchor>
        </w:drawing>
      </w:r>
      <w:r>
        <w:t>Leichte Böden dilluvialer Herkunft, der vorherrschenden Standorteinheiten D1 und D2 bi</w:t>
      </w:r>
      <w:r>
        <w:t>l</w:t>
      </w:r>
      <w:r>
        <w:t>den die Grundlage der landwirtschaftlich genutzten Flächen.</w:t>
      </w:r>
    </w:p>
    <w:p w:rsidR="001224B6" w:rsidRDefault="001224B6" w:rsidP="001224B6">
      <w:pPr>
        <w:pStyle w:val="Listenabsatz"/>
        <w:numPr>
          <w:ilvl w:val="0"/>
          <w:numId w:val="2"/>
        </w:numPr>
      </w:pPr>
      <w:r>
        <w:t>landwirtschaftliche Nutzfläche: ca. 126.000 ha</w:t>
      </w:r>
    </w:p>
    <w:p w:rsidR="001224B6" w:rsidRDefault="001224B6" w:rsidP="001224B6">
      <w:pPr>
        <w:pStyle w:val="Listenabsatz"/>
        <w:numPr>
          <w:ilvl w:val="0"/>
          <w:numId w:val="2"/>
        </w:numPr>
      </w:pPr>
      <w:r>
        <w:t>durchschnittlicher Grünlandanteil: ca. 21 %</w:t>
      </w:r>
    </w:p>
    <w:p w:rsidR="00B033B5" w:rsidRDefault="00B033B5" w:rsidP="001224B6">
      <w:pPr>
        <w:pStyle w:val="Listenabsatz"/>
        <w:numPr>
          <w:ilvl w:val="0"/>
          <w:numId w:val="2"/>
        </w:numPr>
      </w:pPr>
      <w:r>
        <w:t xml:space="preserve">Grünlandzahl: </w:t>
      </w:r>
      <w:r>
        <w:rPr>
          <w:rFonts w:cs="Arial"/>
        </w:rPr>
        <w:t>Ø</w:t>
      </w:r>
      <w:r>
        <w:t xml:space="preserve"> 39</w:t>
      </w:r>
    </w:p>
    <w:p w:rsidR="00B033B5" w:rsidRDefault="00B033B5" w:rsidP="001224B6">
      <w:pPr>
        <w:pStyle w:val="Listenabsatz"/>
        <w:numPr>
          <w:ilvl w:val="0"/>
          <w:numId w:val="2"/>
        </w:numPr>
      </w:pPr>
      <w:r>
        <w:t xml:space="preserve">Ackerzahl: </w:t>
      </w:r>
      <w:r>
        <w:rPr>
          <w:rFonts w:cs="Arial"/>
        </w:rPr>
        <w:t>Ø</w:t>
      </w:r>
      <w:r>
        <w:t xml:space="preserve"> 32</w:t>
      </w:r>
    </w:p>
    <w:p w:rsidR="001224B6" w:rsidRDefault="001224B6" w:rsidP="001224B6">
      <w:pPr>
        <w:pStyle w:val="Listenabsatz"/>
        <w:numPr>
          <w:ilvl w:val="0"/>
          <w:numId w:val="2"/>
        </w:numPr>
      </w:pPr>
      <w:r>
        <w:t>landwirtschaftliche Vergleichszahl: Ø 27 (Wertespanne: 11 - 42)</w:t>
      </w:r>
    </w:p>
    <w:p w:rsidR="001224B6" w:rsidRDefault="001224B6" w:rsidP="001224B6">
      <w:r>
        <w:t>Charakteristisch für das Vergleichsgebiet sind überwiegend schlechtere Bodenqualitäten für die landwirtschaftliche Produktion (benachteiligte Gebiete) mit mäßig geneigten Fl</w:t>
      </w:r>
      <w:r>
        <w:t>ä</w:t>
      </w:r>
      <w:r>
        <w:t>chenanteilen. Aufgrund der geringen Ertragsfähigkeit der Böden sind die Flächen des Ve</w:t>
      </w:r>
      <w:r>
        <w:t>r</w:t>
      </w:r>
      <w:r>
        <w:t>gleichsgebietes nur bedingt für den Anbau anspruchsvoller Fruchtarten geeignet. Ein Gro</w:t>
      </w:r>
      <w:r>
        <w:t>ß</w:t>
      </w:r>
      <w:r>
        <w:t>teil der Flächen werden forstwirtschaftlich genutzt. In dem Gebiet dominieren Marktfrucht- und Futterbaubetriebe.</w:t>
      </w:r>
    </w:p>
    <w:p w:rsidR="001224B6" w:rsidRDefault="001224B6" w:rsidP="001224B6"/>
    <w:p w:rsidR="002522AC" w:rsidRDefault="002522AC" w:rsidP="001224B6"/>
    <w:p w:rsidR="002522AC" w:rsidRDefault="002522AC" w:rsidP="001224B6"/>
    <w:p w:rsidR="002522AC" w:rsidRDefault="002522AC" w:rsidP="001224B6"/>
    <w:p w:rsidR="002522AC" w:rsidRDefault="002522AC" w:rsidP="001224B6"/>
    <w:p w:rsidR="002522AC" w:rsidRDefault="002522AC" w:rsidP="001224B6"/>
    <w:p w:rsidR="002522AC" w:rsidRDefault="002522AC" w:rsidP="001224B6"/>
    <w:p w:rsidR="001224B6" w:rsidRDefault="001224B6" w:rsidP="001224B6"/>
    <w:p w:rsidR="001224B6" w:rsidRDefault="001224B6" w:rsidP="001224B6"/>
    <w:p w:rsidR="001224B6" w:rsidRDefault="001224B6" w:rsidP="001224B6"/>
    <w:p w:rsidR="001224B6" w:rsidRDefault="001224B6" w:rsidP="001224B6"/>
    <w:p w:rsidR="001224B6" w:rsidRDefault="001224B6" w:rsidP="001224B6"/>
    <w:p w:rsidR="001224B6" w:rsidRPr="001224B6" w:rsidRDefault="001224B6" w:rsidP="001224B6">
      <w:pPr>
        <w:rPr>
          <w:b/>
        </w:rPr>
      </w:pPr>
      <w:r w:rsidRPr="001224B6">
        <w:rPr>
          <w:b/>
        </w:rPr>
        <w:lastRenderedPageBreak/>
        <w:t>Vergleichsgebiet 2 – Oberlausitzer Platte, Zittauer Becken und Oberlausitzer Bergland</w:t>
      </w:r>
    </w:p>
    <w:p w:rsidR="001224B6" w:rsidRDefault="001224B6" w:rsidP="001224B6">
      <w:pPr>
        <w:rPr>
          <w:b/>
        </w:rPr>
      </w:pPr>
    </w:p>
    <w:p w:rsidR="001224B6" w:rsidRDefault="001224B6" w:rsidP="00C17786">
      <w:r>
        <w:rPr>
          <w:b/>
          <w:noProof/>
          <w:lang w:eastAsia="de-DE"/>
        </w:rPr>
        <w:drawing>
          <wp:anchor distT="0" distB="0" distL="114300" distR="114300" simplePos="0" relativeHeight="251659264" behindDoc="0" locked="0" layoutInCell="1" allowOverlap="1" wp14:anchorId="7F9C0CF0" wp14:editId="20A93FB0">
            <wp:simplePos x="0" y="0"/>
            <wp:positionH relativeFrom="column">
              <wp:posOffset>-66040</wp:posOffset>
            </wp:positionH>
            <wp:positionV relativeFrom="paragraph">
              <wp:posOffset>111125</wp:posOffset>
            </wp:positionV>
            <wp:extent cx="3556800" cy="2516400"/>
            <wp:effectExtent l="0" t="0" r="571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2_rdax_413x292.jpg"/>
                    <pic:cNvPicPr/>
                  </pic:nvPicPr>
                  <pic:blipFill>
                    <a:blip r:embed="rId13">
                      <a:extLst>
                        <a:ext uri="{28A0092B-C50C-407E-A947-70E740481C1C}">
                          <a14:useLocalDpi xmlns:a14="http://schemas.microsoft.com/office/drawing/2010/main" val="0"/>
                        </a:ext>
                      </a:extLst>
                    </a:blip>
                    <a:stretch>
                      <a:fillRect/>
                    </a:stretch>
                  </pic:blipFill>
                  <pic:spPr>
                    <a:xfrm>
                      <a:off x="0" y="0"/>
                      <a:ext cx="3556800" cy="2516400"/>
                    </a:xfrm>
                    <a:prstGeom prst="rect">
                      <a:avLst/>
                    </a:prstGeom>
                  </pic:spPr>
                </pic:pic>
              </a:graphicData>
            </a:graphic>
            <wp14:sizeRelH relativeFrom="margin">
              <wp14:pctWidth>0</wp14:pctWidth>
            </wp14:sizeRelH>
            <wp14:sizeRelV relativeFrom="margin">
              <wp14:pctHeight>0</wp14:pctHeight>
            </wp14:sizeRelV>
          </wp:anchor>
        </w:drawing>
      </w:r>
      <w:r>
        <w:t>Relativ tiefgründige Böden pleistozäner Herkunft, vorherrschende Standorteinheiten Lö3 bis Lö5 (im nördlichen Teil) und Lö5 und Lö6 (im südlichen Teil) bilden die pedogenen Vorau</w:t>
      </w:r>
      <w:r>
        <w:t>s</w:t>
      </w:r>
      <w:r>
        <w:t>setzungen für die Landwirtschaft.</w:t>
      </w:r>
    </w:p>
    <w:p w:rsidR="00C17786" w:rsidRDefault="001224B6" w:rsidP="00C17786">
      <w:pPr>
        <w:pStyle w:val="Listenabsatz"/>
        <w:numPr>
          <w:ilvl w:val="0"/>
          <w:numId w:val="2"/>
        </w:numPr>
      </w:pPr>
      <w:r>
        <w:t>landwirtschaftliche Nutzfläche: ca. 42.000 ha</w:t>
      </w:r>
    </w:p>
    <w:p w:rsidR="00C17786" w:rsidRDefault="001224B6" w:rsidP="00C17786">
      <w:pPr>
        <w:pStyle w:val="Listenabsatz"/>
        <w:numPr>
          <w:ilvl w:val="0"/>
          <w:numId w:val="2"/>
        </w:numPr>
      </w:pPr>
      <w:r>
        <w:t>durchschnittlicher Grünlandanteil: ca. 15 %</w:t>
      </w:r>
    </w:p>
    <w:p w:rsidR="00B033B5" w:rsidRDefault="00B033B5" w:rsidP="00B033B5">
      <w:pPr>
        <w:pStyle w:val="Listenabsatz"/>
        <w:numPr>
          <w:ilvl w:val="0"/>
          <w:numId w:val="2"/>
        </w:numPr>
      </w:pPr>
      <w:r>
        <w:t xml:space="preserve">Grünlandzahl: </w:t>
      </w:r>
      <w:r>
        <w:rPr>
          <w:rFonts w:cs="Arial"/>
        </w:rPr>
        <w:t>Ø</w:t>
      </w:r>
      <w:r>
        <w:t xml:space="preserve"> 48</w:t>
      </w:r>
    </w:p>
    <w:p w:rsidR="00B033B5" w:rsidRDefault="00B033B5" w:rsidP="00B033B5">
      <w:pPr>
        <w:pStyle w:val="Listenabsatz"/>
        <w:numPr>
          <w:ilvl w:val="0"/>
          <w:numId w:val="2"/>
        </w:numPr>
      </w:pPr>
      <w:r>
        <w:t xml:space="preserve">Ackerzahl: </w:t>
      </w:r>
      <w:r>
        <w:rPr>
          <w:rFonts w:cs="Arial"/>
        </w:rPr>
        <w:t>Ø</w:t>
      </w:r>
      <w:r>
        <w:t xml:space="preserve"> 49</w:t>
      </w:r>
    </w:p>
    <w:p w:rsidR="001224B6" w:rsidRDefault="001224B6" w:rsidP="00C17786">
      <w:pPr>
        <w:pStyle w:val="Listenabsatz"/>
        <w:numPr>
          <w:ilvl w:val="0"/>
          <w:numId w:val="2"/>
        </w:numPr>
      </w:pPr>
      <w:r>
        <w:t>landwirt</w:t>
      </w:r>
      <w:r w:rsidR="00B033B5">
        <w:t>schaftliche Vergleichszahl: Ø 43</w:t>
      </w:r>
      <w:r>
        <w:t xml:space="preserve"> (Wertespanne: 29 - 59)</w:t>
      </w:r>
    </w:p>
    <w:p w:rsidR="001224B6" w:rsidRDefault="001224B6" w:rsidP="00C17786">
      <w:r>
        <w:t xml:space="preserve">Charakterisiert durch das mitteldeutsche Berg- und Hügellandklima liegt dieses Gebiet im Südosten Sachsens. Der nördliche Teil wird von Braunerden des </w:t>
      </w:r>
      <w:r w:rsidR="00DD3D8D">
        <w:t>Lösses</w:t>
      </w:r>
      <w:r>
        <w:t xml:space="preserve"> dominiert, wä</w:t>
      </w:r>
      <w:r>
        <w:t>h</w:t>
      </w:r>
      <w:r>
        <w:t>rend der südliche Teil durch stärker verwitterte rostfarbene Böden geprägt wird. Begünstigt durch die größtenteils guten bis mittleren Acker- und Grünlandböden ist im Vergleichsgebiet ein breit angelegtes Produktionsspektrum von Marktfrüc</w:t>
      </w:r>
      <w:r>
        <w:t>h</w:t>
      </w:r>
      <w:r>
        <w:t>ten über die nahezu gesamte Palette tierischer Produkte, einschließlich Fischproduktion vorhanden. Das Vergleichsgebiet stellt sich als eine ausg</w:t>
      </w:r>
      <w:r>
        <w:t>e</w:t>
      </w:r>
      <w:r>
        <w:t>prägte Agrarlandschaft mit geringem Waldanteil und günstigen Bedingungen für eine landwirtschaftliche Nutzung dar.</w:t>
      </w:r>
    </w:p>
    <w:p w:rsidR="00C17786" w:rsidRDefault="00C17786" w:rsidP="00C17786"/>
    <w:p w:rsidR="00C17786" w:rsidRDefault="00C17786" w:rsidP="00C17786"/>
    <w:p w:rsidR="00C17786" w:rsidRDefault="00C17786" w:rsidP="00C17786"/>
    <w:p w:rsidR="00C17786" w:rsidRDefault="00C17786" w:rsidP="00C17786"/>
    <w:p w:rsidR="00C17786" w:rsidRDefault="00C17786" w:rsidP="00C17786"/>
    <w:p w:rsidR="00C17786" w:rsidRDefault="00C17786" w:rsidP="00C17786"/>
    <w:p w:rsidR="00C17786" w:rsidRDefault="00C17786" w:rsidP="00C17786"/>
    <w:p w:rsidR="00C17786" w:rsidRDefault="00C17786" w:rsidP="00C17786"/>
    <w:p w:rsidR="00C17786" w:rsidRDefault="00C17786" w:rsidP="00C17786"/>
    <w:p w:rsidR="00C17786" w:rsidRDefault="00C17786" w:rsidP="00C17786"/>
    <w:p w:rsidR="00C17786" w:rsidRDefault="00C17786" w:rsidP="00C17786">
      <w:pPr>
        <w:rPr>
          <w:b/>
        </w:rPr>
      </w:pPr>
      <w:r w:rsidRPr="001224B6">
        <w:rPr>
          <w:b/>
        </w:rPr>
        <w:lastRenderedPageBreak/>
        <w:t xml:space="preserve">Vergleichsgebiet </w:t>
      </w:r>
      <w:r>
        <w:rPr>
          <w:b/>
        </w:rPr>
        <w:t>3</w:t>
      </w:r>
      <w:r w:rsidRPr="001224B6">
        <w:rPr>
          <w:b/>
        </w:rPr>
        <w:t xml:space="preserve"> – </w:t>
      </w:r>
      <w:r>
        <w:rPr>
          <w:b/>
        </w:rPr>
        <w:t>Elbsandsteingebirge</w:t>
      </w:r>
    </w:p>
    <w:p w:rsidR="00C17786" w:rsidRDefault="00C17786" w:rsidP="00C17786">
      <w:pPr>
        <w:pStyle w:val="StandardWeb"/>
        <w:rPr>
          <w:rFonts w:ascii="Arial" w:eastAsiaTheme="minorHAnsi" w:hAnsi="Arial" w:cstheme="minorBidi"/>
          <w:b/>
          <w:sz w:val="22"/>
          <w:szCs w:val="22"/>
          <w:lang w:eastAsia="en-US"/>
        </w:rPr>
      </w:pPr>
    </w:p>
    <w:p w:rsidR="00C17786" w:rsidRDefault="00C17786" w:rsidP="00C17786">
      <w:r>
        <w:rPr>
          <w:b/>
          <w:noProof/>
          <w:lang w:eastAsia="de-DE"/>
        </w:rPr>
        <w:drawing>
          <wp:anchor distT="0" distB="0" distL="114300" distR="114300" simplePos="0" relativeHeight="251660288" behindDoc="0" locked="0" layoutInCell="1" allowOverlap="1" wp14:anchorId="5EC79643" wp14:editId="29DC6B52">
            <wp:simplePos x="0" y="0"/>
            <wp:positionH relativeFrom="column">
              <wp:posOffset>10160</wp:posOffset>
            </wp:positionH>
            <wp:positionV relativeFrom="paragraph">
              <wp:posOffset>17145</wp:posOffset>
            </wp:positionV>
            <wp:extent cx="3556800" cy="2516400"/>
            <wp:effectExtent l="0" t="0" r="571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3_rdax_413x292.jpg"/>
                    <pic:cNvPicPr/>
                  </pic:nvPicPr>
                  <pic:blipFill>
                    <a:blip r:embed="rId14">
                      <a:extLst>
                        <a:ext uri="{28A0092B-C50C-407E-A947-70E740481C1C}">
                          <a14:useLocalDpi xmlns:a14="http://schemas.microsoft.com/office/drawing/2010/main" val="0"/>
                        </a:ext>
                      </a:extLst>
                    </a:blip>
                    <a:stretch>
                      <a:fillRect/>
                    </a:stretch>
                  </pic:blipFill>
                  <pic:spPr>
                    <a:xfrm>
                      <a:off x="0" y="0"/>
                      <a:ext cx="3556800" cy="2516400"/>
                    </a:xfrm>
                    <a:prstGeom prst="rect">
                      <a:avLst/>
                    </a:prstGeom>
                  </pic:spPr>
                </pic:pic>
              </a:graphicData>
            </a:graphic>
            <wp14:sizeRelH relativeFrom="margin">
              <wp14:pctWidth>0</wp14:pctWidth>
            </wp14:sizeRelH>
            <wp14:sizeRelV relativeFrom="margin">
              <wp14:pctHeight>0</wp14:pctHeight>
            </wp14:sizeRelV>
          </wp:anchor>
        </w:drawing>
      </w:r>
      <w:r>
        <w:t>Im Westen des Gebietes dominieren flachgründige Lössböden, vorherrschende Standor</w:t>
      </w:r>
      <w:r>
        <w:t>t</w:t>
      </w:r>
      <w:r>
        <w:t xml:space="preserve">einheiten Lö4 bis Lö6, im Osten dagegen Verwitterungsböden mit Standorteinheiten V7 bis V8. </w:t>
      </w:r>
    </w:p>
    <w:p w:rsidR="00C17786" w:rsidRDefault="00C17786" w:rsidP="00C17786">
      <w:pPr>
        <w:pStyle w:val="Listenabsatz"/>
        <w:numPr>
          <w:ilvl w:val="0"/>
          <w:numId w:val="2"/>
        </w:numPr>
      </w:pPr>
      <w:r>
        <w:t>landwirtschaftliche Nutzfläche: ca. 38.000 ha</w:t>
      </w:r>
    </w:p>
    <w:p w:rsidR="00C17786" w:rsidRDefault="00C17786" w:rsidP="00C17786">
      <w:pPr>
        <w:pStyle w:val="Listenabsatz"/>
        <w:numPr>
          <w:ilvl w:val="0"/>
          <w:numId w:val="2"/>
        </w:numPr>
      </w:pPr>
      <w:r>
        <w:t>durchschnittlicher Grünlandanteil: ca. 20 %</w:t>
      </w:r>
    </w:p>
    <w:p w:rsidR="00B033B5" w:rsidRDefault="00B033B5" w:rsidP="00B033B5">
      <w:pPr>
        <w:pStyle w:val="Listenabsatz"/>
        <w:numPr>
          <w:ilvl w:val="0"/>
          <w:numId w:val="2"/>
        </w:numPr>
      </w:pPr>
      <w:r>
        <w:t xml:space="preserve">Grünlandzahl: </w:t>
      </w:r>
      <w:r>
        <w:rPr>
          <w:rFonts w:cs="Arial"/>
        </w:rPr>
        <w:t>Ø</w:t>
      </w:r>
      <w:r>
        <w:t xml:space="preserve"> 44</w:t>
      </w:r>
    </w:p>
    <w:p w:rsidR="00B033B5" w:rsidRDefault="00B033B5" w:rsidP="00B033B5">
      <w:pPr>
        <w:pStyle w:val="Listenabsatz"/>
        <w:numPr>
          <w:ilvl w:val="0"/>
          <w:numId w:val="2"/>
        </w:numPr>
      </w:pPr>
      <w:r>
        <w:t xml:space="preserve">Ackerzahl: </w:t>
      </w:r>
      <w:r>
        <w:rPr>
          <w:rFonts w:cs="Arial"/>
        </w:rPr>
        <w:t>Ø</w:t>
      </w:r>
      <w:r>
        <w:t xml:space="preserve"> 47</w:t>
      </w:r>
    </w:p>
    <w:p w:rsidR="00C17786" w:rsidRDefault="00C17786" w:rsidP="00C17786">
      <w:pPr>
        <w:pStyle w:val="Listenabsatz"/>
        <w:numPr>
          <w:ilvl w:val="0"/>
          <w:numId w:val="2"/>
        </w:numPr>
      </w:pPr>
      <w:r>
        <w:t>landwirt</w:t>
      </w:r>
      <w:r w:rsidR="00B033B5">
        <w:t>schaftliche Vergleichszahl: Ø 41</w:t>
      </w:r>
      <w:r>
        <w:t xml:space="preserve"> (Wertespanne: 24 - 66) </w:t>
      </w:r>
    </w:p>
    <w:p w:rsidR="00C17786" w:rsidRDefault="00C17786" w:rsidP="00C17786">
      <w:r>
        <w:t>Das Gebiet wird durch einen Wechsel zwischen flachgründigen Ebenen mit Tafelbergen und tief eingeschnittenen Tälern geprägt. Die steileren Lagen sowie die ortsnahen Flächen mit geringer Bodenqualität werden vorwiegend als Grünland bewirtschaftet. Der Ackerbau dominiert v. a. im westlichen Teil des Vergleichsgebietes, während der Anteil des Grünlandes im Bereich der Sächsischen Schweiz zunimmt. Das G</w:t>
      </w:r>
      <w:r>
        <w:t>e</w:t>
      </w:r>
      <w:r>
        <w:t>biet ist aufgrund der einmaligen Landschaft des Elbsandsteingebirges touristisch stark überprägt.</w:t>
      </w: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r w:rsidRPr="001224B6">
        <w:rPr>
          <w:b/>
        </w:rPr>
        <w:lastRenderedPageBreak/>
        <w:t xml:space="preserve">Vergleichsgebiet </w:t>
      </w:r>
      <w:r>
        <w:rPr>
          <w:b/>
        </w:rPr>
        <w:t>4</w:t>
      </w:r>
      <w:r w:rsidRPr="001224B6">
        <w:rPr>
          <w:b/>
        </w:rPr>
        <w:t xml:space="preserve"> – </w:t>
      </w:r>
      <w:r>
        <w:rPr>
          <w:b/>
        </w:rPr>
        <w:t>Nördliche Erzgebirgsabdachung</w:t>
      </w:r>
    </w:p>
    <w:p w:rsidR="00C17786" w:rsidRDefault="00C17786" w:rsidP="00C17786">
      <w:pPr>
        <w:rPr>
          <w:b/>
        </w:rPr>
      </w:pPr>
    </w:p>
    <w:p w:rsidR="00C17786" w:rsidRDefault="00C17786" w:rsidP="00C17786">
      <w:r>
        <w:rPr>
          <w:b/>
          <w:noProof/>
          <w:lang w:eastAsia="de-DE"/>
        </w:rPr>
        <w:drawing>
          <wp:anchor distT="0" distB="0" distL="114300" distR="114300" simplePos="0" relativeHeight="251661312" behindDoc="0" locked="0" layoutInCell="1" allowOverlap="1" wp14:anchorId="511C5142" wp14:editId="46663B86">
            <wp:simplePos x="0" y="0"/>
            <wp:positionH relativeFrom="column">
              <wp:posOffset>-46990</wp:posOffset>
            </wp:positionH>
            <wp:positionV relativeFrom="paragraph">
              <wp:posOffset>142240</wp:posOffset>
            </wp:positionV>
            <wp:extent cx="3556635" cy="2512695"/>
            <wp:effectExtent l="0" t="0" r="5715"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4_rdax_413x292.jpg"/>
                    <pic:cNvPicPr/>
                  </pic:nvPicPr>
                  <pic:blipFill>
                    <a:blip r:embed="rId15">
                      <a:extLst>
                        <a:ext uri="{28A0092B-C50C-407E-A947-70E740481C1C}">
                          <a14:useLocalDpi xmlns:a14="http://schemas.microsoft.com/office/drawing/2010/main" val="0"/>
                        </a:ext>
                      </a:extLst>
                    </a:blip>
                    <a:stretch>
                      <a:fillRect/>
                    </a:stretch>
                  </pic:blipFill>
                  <pic:spPr>
                    <a:xfrm>
                      <a:off x="0" y="0"/>
                      <a:ext cx="3556635" cy="2512695"/>
                    </a:xfrm>
                    <a:prstGeom prst="rect">
                      <a:avLst/>
                    </a:prstGeom>
                  </pic:spPr>
                </pic:pic>
              </a:graphicData>
            </a:graphic>
            <wp14:sizeRelH relativeFrom="margin">
              <wp14:pctWidth>0</wp14:pctWidth>
            </wp14:sizeRelH>
            <wp14:sizeRelV relativeFrom="margin">
              <wp14:pctHeight>0</wp14:pctHeight>
            </wp14:sizeRelV>
          </wp:anchor>
        </w:drawing>
      </w:r>
      <w:r>
        <w:t>Verwitterte Gneise im östlichen Teil sowie verwitterte Schiefer im westlichen Teil bilden die Grundlage für die lehmigen bis lehmig sandigen Verwitt</w:t>
      </w:r>
      <w:r>
        <w:t>e</w:t>
      </w:r>
      <w:r>
        <w:t>rungsböden. Die vorherrschenden Standorteinheiten sind V7 und V8.</w:t>
      </w:r>
    </w:p>
    <w:p w:rsidR="00C17786" w:rsidRDefault="00C17786" w:rsidP="00C17786">
      <w:pPr>
        <w:pStyle w:val="Listenabsatz"/>
        <w:numPr>
          <w:ilvl w:val="0"/>
          <w:numId w:val="2"/>
        </w:numPr>
      </w:pPr>
      <w:r>
        <w:t>landwirtschaftliche Nutzfläche: ca. 86.000 ha</w:t>
      </w:r>
    </w:p>
    <w:p w:rsidR="00B033B5" w:rsidRDefault="00C17786" w:rsidP="00B033B5">
      <w:pPr>
        <w:pStyle w:val="Listenabsatz"/>
        <w:numPr>
          <w:ilvl w:val="0"/>
          <w:numId w:val="2"/>
        </w:numPr>
      </w:pPr>
      <w:r>
        <w:t>durchschnittlicher Grünlandanteil: ca. 17 %</w:t>
      </w:r>
      <w:r w:rsidR="00B033B5" w:rsidRPr="00B033B5">
        <w:t xml:space="preserve"> </w:t>
      </w:r>
    </w:p>
    <w:p w:rsidR="00B033B5" w:rsidRDefault="00B033B5" w:rsidP="00B033B5">
      <w:pPr>
        <w:pStyle w:val="Listenabsatz"/>
        <w:numPr>
          <w:ilvl w:val="0"/>
          <w:numId w:val="2"/>
        </w:numPr>
      </w:pPr>
      <w:r>
        <w:t xml:space="preserve">Grünlandzahl: </w:t>
      </w:r>
      <w:r>
        <w:rPr>
          <w:rFonts w:cs="Arial"/>
        </w:rPr>
        <w:t>Ø</w:t>
      </w:r>
      <w:r>
        <w:t xml:space="preserve"> 40</w:t>
      </w:r>
    </w:p>
    <w:p w:rsidR="00C17786" w:rsidRDefault="00B033B5" w:rsidP="00B033B5">
      <w:pPr>
        <w:pStyle w:val="Listenabsatz"/>
        <w:numPr>
          <w:ilvl w:val="0"/>
          <w:numId w:val="2"/>
        </w:numPr>
      </w:pPr>
      <w:r>
        <w:t xml:space="preserve">Ackerzahl: </w:t>
      </w:r>
      <w:r>
        <w:rPr>
          <w:rFonts w:cs="Arial"/>
        </w:rPr>
        <w:t>Ø</w:t>
      </w:r>
      <w:r>
        <w:t xml:space="preserve"> 36</w:t>
      </w:r>
    </w:p>
    <w:p w:rsidR="00C17786" w:rsidRDefault="00C17786" w:rsidP="00C17786">
      <w:pPr>
        <w:pStyle w:val="Listenabsatz"/>
        <w:numPr>
          <w:ilvl w:val="0"/>
          <w:numId w:val="2"/>
        </w:numPr>
      </w:pPr>
      <w:r>
        <w:t>landwirtschaftliche Vergleichszahl: Ø 31 (Wertespanne: 15 - 41)</w:t>
      </w:r>
    </w:p>
    <w:p w:rsidR="00C17786" w:rsidRDefault="00C17786" w:rsidP="00C17786">
      <w:r>
        <w:t>Das Vergleichsgebiet 4 ist gekennzeichnet vom Mittelgebirgsklima. Es herrschen stark we</w:t>
      </w:r>
      <w:r>
        <w:t>l</w:t>
      </w:r>
      <w:r>
        <w:t>lige und hängige Geländeformen vor. Aufgrund dieser Voraussetzungen ist das Gebiet nur bedingt geeignet für den Anbau anspruchsvoller Fruchtarten. Trotzdem besitzt der westl</w:t>
      </w:r>
      <w:r>
        <w:t>i</w:t>
      </w:r>
      <w:r>
        <w:t>chen Teil des Vergleichsgebietes einen relativ geringen Grünlandanteil (ca. 15 %), während im Osten des Vergleichsgebietes, bedingt durch die ungünstigeren klimatischen Verhältnisse, die Ackerflächen zugunsten des Grünlandes spürbar abnehmen.</w:t>
      </w: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jc w:val="left"/>
        <w:rPr>
          <w:b/>
        </w:rPr>
      </w:pPr>
      <w:r w:rsidRPr="00C17786">
        <w:rPr>
          <w:b/>
        </w:rPr>
        <w:lastRenderedPageBreak/>
        <w:t>Vergleichsgebiet 5 – Erzgebirgskamm</w:t>
      </w:r>
    </w:p>
    <w:p w:rsidR="00C17786" w:rsidRPr="00C17786" w:rsidRDefault="00C17786" w:rsidP="00C17786">
      <w:pPr>
        <w:jc w:val="left"/>
        <w:rPr>
          <w:b/>
        </w:rPr>
      </w:pPr>
    </w:p>
    <w:p w:rsidR="00C17786" w:rsidRDefault="00C17786" w:rsidP="00C17786">
      <w:r>
        <w:rPr>
          <w:b/>
          <w:noProof/>
          <w:lang w:eastAsia="de-DE"/>
        </w:rPr>
        <w:drawing>
          <wp:anchor distT="0" distB="0" distL="114300" distR="114300" simplePos="0" relativeHeight="251662336" behindDoc="0" locked="0" layoutInCell="1" allowOverlap="1" wp14:anchorId="09834B64" wp14:editId="0CF001C4">
            <wp:simplePos x="0" y="0"/>
            <wp:positionH relativeFrom="column">
              <wp:posOffset>635</wp:posOffset>
            </wp:positionH>
            <wp:positionV relativeFrom="paragraph">
              <wp:posOffset>198755</wp:posOffset>
            </wp:positionV>
            <wp:extent cx="3556635" cy="2512695"/>
            <wp:effectExtent l="0" t="0" r="5715" b="190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5_rdax_413x292.jpg"/>
                    <pic:cNvPicPr/>
                  </pic:nvPicPr>
                  <pic:blipFill>
                    <a:blip r:embed="rId16">
                      <a:extLst>
                        <a:ext uri="{28A0092B-C50C-407E-A947-70E740481C1C}">
                          <a14:useLocalDpi xmlns:a14="http://schemas.microsoft.com/office/drawing/2010/main" val="0"/>
                        </a:ext>
                      </a:extLst>
                    </a:blip>
                    <a:stretch>
                      <a:fillRect/>
                    </a:stretch>
                  </pic:blipFill>
                  <pic:spPr>
                    <a:xfrm>
                      <a:off x="0" y="0"/>
                      <a:ext cx="3556635" cy="2512695"/>
                    </a:xfrm>
                    <a:prstGeom prst="rect">
                      <a:avLst/>
                    </a:prstGeom>
                  </pic:spPr>
                </pic:pic>
              </a:graphicData>
            </a:graphic>
            <wp14:sizeRelH relativeFrom="margin">
              <wp14:pctWidth>0</wp14:pctWidth>
            </wp14:sizeRelH>
            <wp14:sizeRelV relativeFrom="margin">
              <wp14:pctHeight>0</wp14:pctHeight>
            </wp14:sizeRelV>
          </wp:anchor>
        </w:drawing>
      </w:r>
      <w:r>
        <w:t>In den Kammlagen des Erzgebirges herrschen Verwitterungsböden mit der natürlichen Standorteinheit V9 vor.</w:t>
      </w:r>
    </w:p>
    <w:p w:rsidR="00C17786" w:rsidRDefault="00C17786" w:rsidP="00C17786">
      <w:pPr>
        <w:pStyle w:val="Listenabsatz"/>
        <w:numPr>
          <w:ilvl w:val="0"/>
          <w:numId w:val="2"/>
        </w:numPr>
      </w:pPr>
      <w:r>
        <w:t>landwirtschaftliche Nutzfläche: ca. 73.000 ha</w:t>
      </w:r>
    </w:p>
    <w:p w:rsidR="00C17786" w:rsidRDefault="00C17786" w:rsidP="00C17786">
      <w:pPr>
        <w:pStyle w:val="Listenabsatz"/>
        <w:numPr>
          <w:ilvl w:val="0"/>
          <w:numId w:val="2"/>
        </w:numPr>
      </w:pPr>
      <w:r>
        <w:t>durchschnittlicher Grünlandanteil: ca. 24 %</w:t>
      </w:r>
    </w:p>
    <w:p w:rsidR="00B033B5" w:rsidRDefault="00B033B5" w:rsidP="00B033B5">
      <w:pPr>
        <w:pStyle w:val="Listenabsatz"/>
        <w:numPr>
          <w:ilvl w:val="0"/>
          <w:numId w:val="2"/>
        </w:numPr>
      </w:pPr>
      <w:r>
        <w:t xml:space="preserve">Grünlandzahl: </w:t>
      </w:r>
      <w:r>
        <w:rPr>
          <w:rFonts w:cs="Arial"/>
        </w:rPr>
        <w:t>Ø</w:t>
      </w:r>
      <w:r>
        <w:t xml:space="preserve"> 31</w:t>
      </w:r>
    </w:p>
    <w:p w:rsidR="00B033B5" w:rsidRDefault="00B033B5" w:rsidP="00B033B5">
      <w:pPr>
        <w:pStyle w:val="Listenabsatz"/>
        <w:numPr>
          <w:ilvl w:val="0"/>
          <w:numId w:val="2"/>
        </w:numPr>
      </w:pPr>
      <w:r>
        <w:t xml:space="preserve">Ackerzahl: </w:t>
      </w:r>
      <w:r>
        <w:rPr>
          <w:rFonts w:cs="Arial"/>
        </w:rPr>
        <w:t>Ø</w:t>
      </w:r>
      <w:r>
        <w:t xml:space="preserve"> 26</w:t>
      </w:r>
    </w:p>
    <w:p w:rsidR="00C17786" w:rsidRDefault="00C17786" w:rsidP="00C17786">
      <w:pPr>
        <w:pStyle w:val="Listenabsatz"/>
        <w:numPr>
          <w:ilvl w:val="0"/>
          <w:numId w:val="2"/>
        </w:numPr>
      </w:pPr>
      <w:r>
        <w:t>landwirtschaftliche Vergleichszahl: Ø 21 (Wertespanne: &lt;10 bis 31)</w:t>
      </w:r>
    </w:p>
    <w:p w:rsidR="00C17786" w:rsidRDefault="00C17786" w:rsidP="00C17786">
      <w:r>
        <w:t>Ungünstige klimatische Bedingungen, die mit einer kurzen Vegetationszeiten und Niede</w:t>
      </w:r>
      <w:r>
        <w:t>r</w:t>
      </w:r>
      <w:r>
        <w:t>schlägen von teils über 1000 mm charakterisiert sind, schlechte pedogene Voraussetzu</w:t>
      </w:r>
      <w:r>
        <w:t>n</w:t>
      </w:r>
      <w:r>
        <w:t>gen, mit geringen Bodenmächtigkeiten und einem hohen Steingehalt sowie einer übe</w:t>
      </w:r>
      <w:r>
        <w:t>r</w:t>
      </w:r>
      <w:r>
        <w:t>durchschnittlichen Neigung der landwirtschaftlichen Nutzflächen bilden die Voraussetzu</w:t>
      </w:r>
      <w:r>
        <w:t>n</w:t>
      </w:r>
      <w:r>
        <w:t xml:space="preserve">gen für eine landwirtschaftliche Produktion. Die Landwirtschaft ist in diesem Gebiet durch </w:t>
      </w:r>
      <w:r w:rsidR="00DD3D8D">
        <w:t>einen</w:t>
      </w:r>
      <w:r>
        <w:t xml:space="preserve"> hohen Grünlandanteil und geringen ackerbaulichen Erträgen geprägt.</w:t>
      </w: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rPr>
          <w:b/>
        </w:rPr>
      </w:pPr>
    </w:p>
    <w:p w:rsidR="00C17786" w:rsidRDefault="00C17786" w:rsidP="00C17786">
      <w:pPr>
        <w:jc w:val="left"/>
        <w:rPr>
          <w:b/>
        </w:rPr>
      </w:pPr>
      <w:r w:rsidRPr="00C17786">
        <w:rPr>
          <w:b/>
        </w:rPr>
        <w:lastRenderedPageBreak/>
        <w:t xml:space="preserve">Vergleichsgebiet </w:t>
      </w:r>
      <w:r>
        <w:rPr>
          <w:b/>
        </w:rPr>
        <w:t>6</w:t>
      </w:r>
      <w:r w:rsidRPr="00C17786">
        <w:rPr>
          <w:b/>
        </w:rPr>
        <w:t xml:space="preserve"> – </w:t>
      </w:r>
      <w:r>
        <w:rPr>
          <w:b/>
        </w:rPr>
        <w:t>Zwickauer-Chemnitzer Hügelland</w:t>
      </w:r>
    </w:p>
    <w:p w:rsidR="00C17786" w:rsidRDefault="00C17786" w:rsidP="00C17786">
      <w:pPr>
        <w:rPr>
          <w:b/>
        </w:rPr>
      </w:pPr>
    </w:p>
    <w:p w:rsidR="00C17786" w:rsidRDefault="00924016" w:rsidP="00924016">
      <w:r>
        <w:rPr>
          <w:b/>
          <w:noProof/>
          <w:lang w:eastAsia="de-DE"/>
        </w:rPr>
        <w:drawing>
          <wp:anchor distT="0" distB="0" distL="114300" distR="114300" simplePos="0" relativeHeight="251663360" behindDoc="0" locked="0" layoutInCell="1" allowOverlap="1" wp14:anchorId="1976B706" wp14:editId="7A581A6C">
            <wp:simplePos x="0" y="0"/>
            <wp:positionH relativeFrom="column">
              <wp:posOffset>635</wp:posOffset>
            </wp:positionH>
            <wp:positionV relativeFrom="paragraph">
              <wp:posOffset>139700</wp:posOffset>
            </wp:positionV>
            <wp:extent cx="2541600" cy="17964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6_rdax_413x292.jpg"/>
                    <pic:cNvPicPr/>
                  </pic:nvPicPr>
                  <pic:blipFill>
                    <a:blip r:embed="rId17">
                      <a:extLst>
                        <a:ext uri="{28A0092B-C50C-407E-A947-70E740481C1C}">
                          <a14:useLocalDpi xmlns:a14="http://schemas.microsoft.com/office/drawing/2010/main" val="0"/>
                        </a:ext>
                      </a:extLst>
                    </a:blip>
                    <a:stretch>
                      <a:fillRect/>
                    </a:stretch>
                  </pic:blipFill>
                  <pic:spPr>
                    <a:xfrm>
                      <a:off x="0" y="0"/>
                      <a:ext cx="2541600" cy="1796400"/>
                    </a:xfrm>
                    <a:prstGeom prst="rect">
                      <a:avLst/>
                    </a:prstGeom>
                  </pic:spPr>
                </pic:pic>
              </a:graphicData>
            </a:graphic>
            <wp14:sizeRelH relativeFrom="margin">
              <wp14:pctWidth>0</wp14:pctWidth>
            </wp14:sizeRelH>
            <wp14:sizeRelV relativeFrom="margin">
              <wp14:pctHeight>0</wp14:pctHeight>
            </wp14:sizeRelV>
          </wp:anchor>
        </w:drawing>
      </w:r>
      <w:r w:rsidR="00C17786">
        <w:t>Vorwiegend Verwitterungsböden mit lehmigen bis lehmig sandigen Substraten bilden die Grundlage der vorherrschenden Standorteinheiten V5 und V6.</w:t>
      </w:r>
    </w:p>
    <w:p w:rsidR="00924016" w:rsidRDefault="00DD3D8D" w:rsidP="00924016">
      <w:pPr>
        <w:pStyle w:val="Listenabsatz"/>
        <w:numPr>
          <w:ilvl w:val="0"/>
          <w:numId w:val="2"/>
        </w:numPr>
      </w:pPr>
      <w:r>
        <w:t>landwirtschaftliche</w:t>
      </w:r>
      <w:r w:rsidR="00C17786">
        <w:t xml:space="preserve"> Nutzfläche: ca. 69.000 ha</w:t>
      </w:r>
    </w:p>
    <w:p w:rsidR="00B033B5" w:rsidRDefault="00C17786" w:rsidP="00B033B5">
      <w:pPr>
        <w:pStyle w:val="Listenabsatz"/>
        <w:numPr>
          <w:ilvl w:val="0"/>
          <w:numId w:val="2"/>
        </w:numPr>
      </w:pPr>
      <w:r>
        <w:t>durchschnittlicher Grünlandanteil: ca. 19 %</w:t>
      </w:r>
      <w:r w:rsidR="00B033B5">
        <w:t xml:space="preserve"> / Grünlandzahl: </w:t>
      </w:r>
      <w:r w:rsidR="00B033B5" w:rsidRPr="00B033B5">
        <w:rPr>
          <w:rFonts w:cs="Arial"/>
        </w:rPr>
        <w:t>Ø</w:t>
      </w:r>
      <w:r w:rsidR="00B033B5">
        <w:t xml:space="preserve"> 40 / Ackerzahl: </w:t>
      </w:r>
      <w:r w:rsidR="00B033B5" w:rsidRPr="00B033B5">
        <w:rPr>
          <w:rFonts w:cs="Arial"/>
        </w:rPr>
        <w:t>Ø</w:t>
      </w:r>
      <w:r w:rsidR="00B033B5">
        <w:t xml:space="preserve"> 38</w:t>
      </w:r>
    </w:p>
    <w:p w:rsidR="00C17786" w:rsidRDefault="00C17786" w:rsidP="00924016">
      <w:pPr>
        <w:pStyle w:val="Listenabsatz"/>
        <w:numPr>
          <w:ilvl w:val="0"/>
          <w:numId w:val="2"/>
        </w:numPr>
      </w:pPr>
      <w:r>
        <w:t>landwirtschaftliche Vergleichszahl: Ø 32 (Wertespanne: 15 - 46)</w:t>
      </w:r>
    </w:p>
    <w:p w:rsidR="00C17786" w:rsidRDefault="00C17786" w:rsidP="00924016">
      <w:r>
        <w:t>Das vorherrschende Berg- und Hügellandklima hat einen bestimmenden Einfluss auf Anbau und Erträge. Dadurch werden die Auswirkungen unterschiedlichen Bodens teilweise überdeckt.</w:t>
      </w:r>
      <w:r w:rsidR="00DD3D8D">
        <w:t xml:space="preserve"> </w:t>
      </w:r>
      <w:r>
        <w:t>Charakteristisch für das Vergleichsgebiet ist ein deutliches Nord-Süd-Gefälle hinsichtlich der Bodenqualität. Während im Nordteil Bodenwertzahlen zwischen 36 und 50 vorherrschen, finden sich im höher gelegenen Südteil für den Acke</w:t>
      </w:r>
      <w:r>
        <w:t>r</w:t>
      </w:r>
      <w:r>
        <w:t>bau nur bedingt geeignete Flächen mit Bodenwertzahlen zwischen 25 und 36. Die im Vergleichsgebiet vorherrschenden Verwitterungsböden sind in Verbindung mit den günstigen klimatischen Bedingungen im Nordteil für die landwirtschaftliche Nutzung gut geeignet.</w:t>
      </w:r>
    </w:p>
    <w:p w:rsidR="00924016" w:rsidRDefault="00924016" w:rsidP="00C17786">
      <w:pPr>
        <w:rPr>
          <w:b/>
        </w:rPr>
      </w:pPr>
    </w:p>
    <w:p w:rsidR="00924016" w:rsidRDefault="00924016" w:rsidP="00924016">
      <w:pPr>
        <w:jc w:val="left"/>
        <w:rPr>
          <w:b/>
        </w:rPr>
      </w:pPr>
      <w:r w:rsidRPr="00C17786">
        <w:rPr>
          <w:b/>
        </w:rPr>
        <w:t xml:space="preserve">Vergleichsgebiet </w:t>
      </w:r>
      <w:r>
        <w:rPr>
          <w:b/>
        </w:rPr>
        <w:t>6a</w:t>
      </w:r>
      <w:r w:rsidRPr="00C17786">
        <w:rPr>
          <w:b/>
        </w:rPr>
        <w:t xml:space="preserve"> – </w:t>
      </w:r>
      <w:r>
        <w:rPr>
          <w:b/>
        </w:rPr>
        <w:t>Elsterbergland</w:t>
      </w:r>
    </w:p>
    <w:p w:rsidR="00924016" w:rsidRDefault="00924016" w:rsidP="00924016">
      <w:pPr>
        <w:jc w:val="left"/>
        <w:rPr>
          <w:b/>
        </w:rPr>
      </w:pPr>
      <w:r>
        <w:rPr>
          <w:b/>
          <w:noProof/>
          <w:lang w:eastAsia="de-DE"/>
        </w:rPr>
        <w:drawing>
          <wp:anchor distT="0" distB="0" distL="114300" distR="114300" simplePos="0" relativeHeight="251664384" behindDoc="0" locked="0" layoutInCell="1" allowOverlap="1" wp14:anchorId="11A79C73" wp14:editId="662994CF">
            <wp:simplePos x="0" y="0"/>
            <wp:positionH relativeFrom="column">
              <wp:posOffset>8255</wp:posOffset>
            </wp:positionH>
            <wp:positionV relativeFrom="paragraph">
              <wp:posOffset>193675</wp:posOffset>
            </wp:positionV>
            <wp:extent cx="2541600" cy="17964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61_rdax_413x292.jpg"/>
                    <pic:cNvPicPr/>
                  </pic:nvPicPr>
                  <pic:blipFill>
                    <a:blip r:embed="rId18">
                      <a:extLst>
                        <a:ext uri="{28A0092B-C50C-407E-A947-70E740481C1C}">
                          <a14:useLocalDpi xmlns:a14="http://schemas.microsoft.com/office/drawing/2010/main" val="0"/>
                        </a:ext>
                      </a:extLst>
                    </a:blip>
                    <a:stretch>
                      <a:fillRect/>
                    </a:stretch>
                  </pic:blipFill>
                  <pic:spPr>
                    <a:xfrm>
                      <a:off x="0" y="0"/>
                      <a:ext cx="2541600" cy="1796400"/>
                    </a:xfrm>
                    <a:prstGeom prst="rect">
                      <a:avLst/>
                    </a:prstGeom>
                  </pic:spPr>
                </pic:pic>
              </a:graphicData>
            </a:graphic>
            <wp14:sizeRelH relativeFrom="margin">
              <wp14:pctWidth>0</wp14:pctWidth>
            </wp14:sizeRelH>
            <wp14:sizeRelV relativeFrom="margin">
              <wp14:pctHeight>0</wp14:pctHeight>
            </wp14:sizeRelV>
          </wp:anchor>
        </w:drawing>
      </w:r>
    </w:p>
    <w:p w:rsidR="00924016" w:rsidRDefault="00924016" w:rsidP="00924016">
      <w:r>
        <w:t>Diese Region ist vergleichbar mit Vergleichsgebiet 6. Auch hier dominieren die Standorteinheiten V5 und V6.</w:t>
      </w:r>
    </w:p>
    <w:p w:rsidR="00924016" w:rsidRDefault="00924016" w:rsidP="00924016">
      <w:pPr>
        <w:pStyle w:val="Listenabsatz"/>
        <w:numPr>
          <w:ilvl w:val="0"/>
          <w:numId w:val="2"/>
        </w:numPr>
      </w:pPr>
      <w:r>
        <w:t>landwirtschaftliche Nutzfläche: ca. 59.000ha</w:t>
      </w:r>
    </w:p>
    <w:p w:rsidR="00924016" w:rsidRDefault="00924016" w:rsidP="00B033B5">
      <w:pPr>
        <w:pStyle w:val="Listenabsatz"/>
        <w:numPr>
          <w:ilvl w:val="0"/>
          <w:numId w:val="2"/>
        </w:numPr>
      </w:pPr>
      <w:r>
        <w:t>durchschnittlicher Grünlandanteil: ca. 29 %</w:t>
      </w:r>
      <w:r w:rsidR="00B033B5">
        <w:t xml:space="preserve"> / Grünlandzahl: </w:t>
      </w:r>
      <w:r w:rsidR="00B033B5" w:rsidRPr="00B033B5">
        <w:rPr>
          <w:rFonts w:cs="Arial"/>
        </w:rPr>
        <w:t>Ø</w:t>
      </w:r>
      <w:r w:rsidR="00B033B5">
        <w:t xml:space="preserve"> 36 / Ackerzahl: </w:t>
      </w:r>
      <w:r w:rsidR="00B033B5" w:rsidRPr="00B033B5">
        <w:rPr>
          <w:rFonts w:cs="Arial"/>
        </w:rPr>
        <w:t>Ø</w:t>
      </w:r>
      <w:r w:rsidR="00B033B5">
        <w:t xml:space="preserve"> 33</w:t>
      </w:r>
    </w:p>
    <w:p w:rsidR="00924016" w:rsidRDefault="00924016" w:rsidP="00924016">
      <w:pPr>
        <w:pStyle w:val="Listenabsatz"/>
        <w:numPr>
          <w:ilvl w:val="0"/>
          <w:numId w:val="2"/>
        </w:numPr>
      </w:pPr>
      <w:r>
        <w:t>landwirtschaftliche Vergleichszahl: Ø 28 (Wertespanne: 19 - 38)</w:t>
      </w:r>
    </w:p>
    <w:p w:rsidR="00924016" w:rsidRDefault="00924016" w:rsidP="00924016">
      <w:r>
        <w:t>Im Vergleichsgebiet sind Verwitterungsböden mäßiger bis mittlerer Güte dominant, die in Abhängigkeit von den Niederschlägen über eine durchschnittliche Ertragsfähigkeit verfügen können. Die Verteilung der Ackerböden im Vergleichsgebiet ist dabei sehr differenziert, entspricht aber weitgehend der historischen Entwicklung sowie den natürlichen Gegebenheiten. Im Gegensatz zum Vergleichsgebiet 6 ist im Vergleichsgebiet 6a ein wesentlich höherer Grünla</w:t>
      </w:r>
      <w:r>
        <w:t>n</w:t>
      </w:r>
      <w:r>
        <w:t xml:space="preserve">danteil </w:t>
      </w:r>
      <w:r w:rsidR="00DD3D8D">
        <w:t>und ein höherer</w:t>
      </w:r>
      <w:r>
        <w:t xml:space="preserve"> Rinderbestand</w:t>
      </w:r>
      <w:r w:rsidR="00DD3D8D">
        <w:t xml:space="preserve"> zu ve</w:t>
      </w:r>
      <w:r w:rsidR="00DD3D8D">
        <w:t>r</w:t>
      </w:r>
      <w:r w:rsidR="00DD3D8D">
        <w:t>zeichnen</w:t>
      </w:r>
      <w:r>
        <w:t>, der über dem Durchschnitt von Sachsen liegt.</w:t>
      </w:r>
    </w:p>
    <w:p w:rsidR="00924016" w:rsidRDefault="00924016" w:rsidP="00924016">
      <w:pPr>
        <w:jc w:val="left"/>
        <w:rPr>
          <w:b/>
        </w:rPr>
      </w:pPr>
      <w:r w:rsidRPr="00C17786">
        <w:rPr>
          <w:b/>
        </w:rPr>
        <w:lastRenderedPageBreak/>
        <w:t xml:space="preserve">Vergleichsgebiet </w:t>
      </w:r>
      <w:r>
        <w:rPr>
          <w:b/>
        </w:rPr>
        <w:t>7</w:t>
      </w:r>
      <w:r w:rsidRPr="00C17786">
        <w:rPr>
          <w:b/>
        </w:rPr>
        <w:t xml:space="preserve"> – </w:t>
      </w:r>
      <w:r>
        <w:rPr>
          <w:b/>
        </w:rPr>
        <w:t>Mittelsächsisches Hügelland</w:t>
      </w:r>
    </w:p>
    <w:p w:rsidR="00924016" w:rsidRDefault="00924016" w:rsidP="00C17786">
      <w:pPr>
        <w:rPr>
          <w:b/>
        </w:rPr>
      </w:pPr>
    </w:p>
    <w:p w:rsidR="00924016" w:rsidRDefault="00924016" w:rsidP="00924016">
      <w:r>
        <w:rPr>
          <w:b/>
          <w:noProof/>
          <w:lang w:eastAsia="de-DE"/>
        </w:rPr>
        <w:drawing>
          <wp:anchor distT="0" distB="0" distL="114300" distR="114300" simplePos="0" relativeHeight="251665408" behindDoc="0" locked="0" layoutInCell="1" allowOverlap="1" wp14:anchorId="0DD08A50" wp14:editId="1456C701">
            <wp:simplePos x="0" y="0"/>
            <wp:positionH relativeFrom="column">
              <wp:posOffset>-66040</wp:posOffset>
            </wp:positionH>
            <wp:positionV relativeFrom="paragraph">
              <wp:posOffset>158750</wp:posOffset>
            </wp:positionV>
            <wp:extent cx="3556635" cy="2512695"/>
            <wp:effectExtent l="0" t="0" r="5715"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7_rdax_413x292.jpg"/>
                    <pic:cNvPicPr/>
                  </pic:nvPicPr>
                  <pic:blipFill>
                    <a:blip r:embed="rId19">
                      <a:extLst>
                        <a:ext uri="{28A0092B-C50C-407E-A947-70E740481C1C}">
                          <a14:useLocalDpi xmlns:a14="http://schemas.microsoft.com/office/drawing/2010/main" val="0"/>
                        </a:ext>
                      </a:extLst>
                    </a:blip>
                    <a:stretch>
                      <a:fillRect/>
                    </a:stretch>
                  </pic:blipFill>
                  <pic:spPr>
                    <a:xfrm>
                      <a:off x="0" y="0"/>
                      <a:ext cx="3556635" cy="2512695"/>
                    </a:xfrm>
                    <a:prstGeom prst="rect">
                      <a:avLst/>
                    </a:prstGeom>
                  </pic:spPr>
                </pic:pic>
              </a:graphicData>
            </a:graphic>
            <wp14:sizeRelH relativeFrom="margin">
              <wp14:pctWidth>0</wp14:pctWidth>
            </wp14:sizeRelH>
            <wp14:sizeRelV relativeFrom="margin">
              <wp14:pctHeight>0</wp14:pctHeight>
            </wp14:sizeRelV>
          </wp:anchor>
        </w:drawing>
      </w:r>
      <w:r>
        <w:t>Das Mittelsächsische Hügelland ist ein Teilgebiet des sächsischen Lössgebietes. Durch höhere Niederschlagsmengen und damit auch stärker Verwitterung des Lösses untersche</w:t>
      </w:r>
      <w:r>
        <w:t>i</w:t>
      </w:r>
      <w:r>
        <w:t>det sich dieses Gebiet von der Mittelsächsischen Platte vornehmlich durch geringere B</w:t>
      </w:r>
      <w:r>
        <w:t>o</w:t>
      </w:r>
      <w:r>
        <w:t>denqualitäten mit Standorteinhe</w:t>
      </w:r>
      <w:r>
        <w:t>i</w:t>
      </w:r>
      <w:r>
        <w:t>ten Lö5 und Lö6.</w:t>
      </w:r>
      <w:r w:rsidRPr="00924016">
        <w:rPr>
          <w:b/>
          <w:noProof/>
        </w:rPr>
        <w:t xml:space="preserve"> </w:t>
      </w:r>
    </w:p>
    <w:p w:rsidR="00924016" w:rsidRDefault="00924016" w:rsidP="00924016">
      <w:pPr>
        <w:pStyle w:val="Listenabsatz"/>
        <w:numPr>
          <w:ilvl w:val="0"/>
          <w:numId w:val="2"/>
        </w:numPr>
      </w:pPr>
      <w:r>
        <w:t>landwirtschaftliche Nutzfläche: ca. 94.000 ha</w:t>
      </w:r>
    </w:p>
    <w:p w:rsidR="00924016" w:rsidRDefault="00B033B5" w:rsidP="00924016">
      <w:pPr>
        <w:pStyle w:val="Listenabsatz"/>
        <w:numPr>
          <w:ilvl w:val="0"/>
          <w:numId w:val="2"/>
        </w:numPr>
      </w:pPr>
      <w:r>
        <w:t>d</w:t>
      </w:r>
      <w:r w:rsidR="00924016">
        <w:t>urchschnittlicher Grünlandanteil: ca. 14 %</w:t>
      </w:r>
    </w:p>
    <w:p w:rsidR="00B033B5" w:rsidRDefault="00B033B5" w:rsidP="00B033B5">
      <w:pPr>
        <w:pStyle w:val="Listenabsatz"/>
        <w:numPr>
          <w:ilvl w:val="0"/>
          <w:numId w:val="2"/>
        </w:numPr>
      </w:pPr>
      <w:r>
        <w:t xml:space="preserve">Grünlandzahl: </w:t>
      </w:r>
      <w:r w:rsidRPr="00B033B5">
        <w:rPr>
          <w:rFonts w:cs="Arial"/>
        </w:rPr>
        <w:t>Ø</w:t>
      </w:r>
      <w:r w:rsidR="004F2D87">
        <w:t xml:space="preserve"> 47</w:t>
      </w:r>
      <w:r>
        <w:t xml:space="preserve"> </w:t>
      </w:r>
    </w:p>
    <w:p w:rsidR="00B033B5" w:rsidRDefault="00B033B5" w:rsidP="00924016">
      <w:pPr>
        <w:pStyle w:val="Listenabsatz"/>
        <w:numPr>
          <w:ilvl w:val="0"/>
          <w:numId w:val="2"/>
        </w:numPr>
      </w:pPr>
      <w:r>
        <w:t xml:space="preserve">Ackerzahl: </w:t>
      </w:r>
      <w:r w:rsidRPr="00B033B5">
        <w:rPr>
          <w:rFonts w:cs="Arial"/>
        </w:rPr>
        <w:t>Ø</w:t>
      </w:r>
      <w:r w:rsidR="004F2D87">
        <w:t xml:space="preserve"> 51</w:t>
      </w:r>
    </w:p>
    <w:p w:rsidR="00924016" w:rsidRDefault="00924016" w:rsidP="00924016">
      <w:pPr>
        <w:pStyle w:val="Listenabsatz"/>
        <w:numPr>
          <w:ilvl w:val="0"/>
          <w:numId w:val="2"/>
        </w:numPr>
      </w:pPr>
      <w:r>
        <w:t>landwirtschaftliche V</w:t>
      </w:r>
      <w:r w:rsidR="00B033B5">
        <w:t>ergleichszahl: Ø 45</w:t>
      </w:r>
      <w:r>
        <w:t xml:space="preserve"> (Wertebereich: 25 - 57)</w:t>
      </w:r>
    </w:p>
    <w:p w:rsidR="00924016" w:rsidRDefault="00924016" w:rsidP="00924016">
      <w:r>
        <w:t>Im Vergleichsgebiet dominieren hochertragsfähige Böden, die ein breit angelegtes Produkt</w:t>
      </w:r>
      <w:r>
        <w:t>i</w:t>
      </w:r>
      <w:r>
        <w:t>onsspektrum an Marktfrüchten zulassen. Die landwir</w:t>
      </w:r>
      <w:r>
        <w:t>t</w:t>
      </w:r>
      <w:r>
        <w:t>schaftliche Nutzung der Flächen wird von einem hohen Anteil Ackerland bestimmt, wobei äußerlich sichtbar das Landschaftsbild durch überdimensi</w:t>
      </w:r>
      <w:r>
        <w:t>o</w:t>
      </w:r>
      <w:r>
        <w:t>nierte Ackerschläge geprägt wird. Typisch für das Vergleichsgebiet ist die Anordnung der Ackerflächen auf den meist nur leicht geneigten Plateaul</w:t>
      </w:r>
      <w:r>
        <w:t>a</w:t>
      </w:r>
      <w:r>
        <w:t>gen, während sich das Grünland fast ausnahmslos auf stark geneigten Hängen und in Ortslagen befindet.</w:t>
      </w: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924016" w:rsidP="00C17786">
      <w:pPr>
        <w:rPr>
          <w:b/>
        </w:rPr>
      </w:pPr>
    </w:p>
    <w:p w:rsidR="00924016" w:rsidRDefault="006239F1" w:rsidP="00C17786">
      <w:pPr>
        <w:rPr>
          <w:b/>
        </w:rPr>
      </w:pPr>
      <w:r w:rsidRPr="00C17786">
        <w:rPr>
          <w:b/>
        </w:rPr>
        <w:lastRenderedPageBreak/>
        <w:t xml:space="preserve">Vergleichsgebiet </w:t>
      </w:r>
      <w:r>
        <w:rPr>
          <w:b/>
        </w:rPr>
        <w:t>8</w:t>
      </w:r>
      <w:r w:rsidRPr="00C17786">
        <w:rPr>
          <w:b/>
        </w:rPr>
        <w:t xml:space="preserve"> – </w:t>
      </w:r>
      <w:r>
        <w:rPr>
          <w:b/>
        </w:rPr>
        <w:t>Mittelsächsische Platte</w:t>
      </w:r>
    </w:p>
    <w:p w:rsidR="006239F1" w:rsidRDefault="006239F1" w:rsidP="00C17786">
      <w:pPr>
        <w:rPr>
          <w:b/>
        </w:rPr>
      </w:pPr>
    </w:p>
    <w:p w:rsidR="006239F1" w:rsidRDefault="006239F1" w:rsidP="006239F1">
      <w:r>
        <w:rPr>
          <w:b/>
          <w:noProof/>
          <w:lang w:eastAsia="de-DE"/>
        </w:rPr>
        <w:drawing>
          <wp:anchor distT="0" distB="0" distL="114300" distR="114300" simplePos="0" relativeHeight="251666432" behindDoc="0" locked="0" layoutInCell="1" allowOverlap="1" wp14:anchorId="17C9D730" wp14:editId="355115A5">
            <wp:simplePos x="0" y="0"/>
            <wp:positionH relativeFrom="column">
              <wp:posOffset>635</wp:posOffset>
            </wp:positionH>
            <wp:positionV relativeFrom="paragraph">
              <wp:posOffset>177800</wp:posOffset>
            </wp:positionV>
            <wp:extent cx="3556800" cy="2516400"/>
            <wp:effectExtent l="0" t="0" r="571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8_rdax_413x292.jpg"/>
                    <pic:cNvPicPr/>
                  </pic:nvPicPr>
                  <pic:blipFill>
                    <a:blip r:embed="rId20">
                      <a:extLst>
                        <a:ext uri="{28A0092B-C50C-407E-A947-70E740481C1C}">
                          <a14:useLocalDpi xmlns:a14="http://schemas.microsoft.com/office/drawing/2010/main" val="0"/>
                        </a:ext>
                      </a:extLst>
                    </a:blip>
                    <a:stretch>
                      <a:fillRect/>
                    </a:stretch>
                  </pic:blipFill>
                  <pic:spPr>
                    <a:xfrm>
                      <a:off x="0" y="0"/>
                      <a:ext cx="3556800" cy="2516400"/>
                    </a:xfrm>
                    <a:prstGeom prst="rect">
                      <a:avLst/>
                    </a:prstGeom>
                  </pic:spPr>
                </pic:pic>
              </a:graphicData>
            </a:graphic>
            <wp14:sizeRelH relativeFrom="margin">
              <wp14:pctWidth>0</wp14:pctWidth>
            </wp14:sizeRelH>
            <wp14:sizeRelV relativeFrom="margin">
              <wp14:pctHeight>0</wp14:pctHeight>
            </wp14:sizeRelV>
          </wp:anchor>
        </w:drawing>
      </w:r>
      <w:r>
        <w:t>Periglaziale Lössanwehungen bilden in diesem Vergleichsgebiet die Standorteinheiten Lö3 und Lö4.</w:t>
      </w:r>
    </w:p>
    <w:p w:rsidR="006239F1" w:rsidRDefault="006239F1" w:rsidP="006239F1">
      <w:pPr>
        <w:pStyle w:val="Listenabsatz"/>
        <w:numPr>
          <w:ilvl w:val="0"/>
          <w:numId w:val="2"/>
        </w:numPr>
      </w:pPr>
      <w:r>
        <w:t>landwirtschaftliche Nutzfläche: ca. 196.000 ha</w:t>
      </w:r>
    </w:p>
    <w:p w:rsidR="006239F1" w:rsidRDefault="00DD3D8D" w:rsidP="006239F1">
      <w:pPr>
        <w:pStyle w:val="Listenabsatz"/>
        <w:numPr>
          <w:ilvl w:val="0"/>
          <w:numId w:val="2"/>
        </w:numPr>
      </w:pPr>
      <w:r>
        <w:t>durchschnittlicher</w:t>
      </w:r>
      <w:r w:rsidR="006239F1">
        <w:t xml:space="preserve"> Grünlandanteil: ca. 11 %</w:t>
      </w:r>
    </w:p>
    <w:p w:rsidR="004F2D87" w:rsidRDefault="004F2D87" w:rsidP="004F2D87">
      <w:pPr>
        <w:pStyle w:val="Listenabsatz"/>
        <w:numPr>
          <w:ilvl w:val="0"/>
          <w:numId w:val="2"/>
        </w:numPr>
      </w:pPr>
      <w:r>
        <w:t xml:space="preserve">Grünlandzahl: </w:t>
      </w:r>
      <w:r w:rsidRPr="00B033B5">
        <w:rPr>
          <w:rFonts w:cs="Arial"/>
        </w:rPr>
        <w:t>Ø</w:t>
      </w:r>
      <w:r>
        <w:t xml:space="preserve"> 53 </w:t>
      </w:r>
    </w:p>
    <w:p w:rsidR="004F2D87" w:rsidRDefault="004F2D87" w:rsidP="004F2D87">
      <w:pPr>
        <w:pStyle w:val="Listenabsatz"/>
        <w:numPr>
          <w:ilvl w:val="0"/>
          <w:numId w:val="2"/>
        </w:numPr>
      </w:pPr>
      <w:r>
        <w:t xml:space="preserve">Ackerzahl: </w:t>
      </w:r>
      <w:r w:rsidRPr="00B033B5">
        <w:rPr>
          <w:rFonts w:cs="Arial"/>
        </w:rPr>
        <w:t>Ø</w:t>
      </w:r>
      <w:r>
        <w:t xml:space="preserve"> 60</w:t>
      </w:r>
    </w:p>
    <w:p w:rsidR="006239F1" w:rsidRDefault="006239F1" w:rsidP="006239F1">
      <w:pPr>
        <w:pStyle w:val="Listenabsatz"/>
        <w:numPr>
          <w:ilvl w:val="0"/>
          <w:numId w:val="2"/>
        </w:numPr>
      </w:pPr>
      <w:r>
        <w:t>landwirt</w:t>
      </w:r>
      <w:r w:rsidR="004F2D87">
        <w:t>schaftliche Vergleichszahl: Ø 55</w:t>
      </w:r>
      <w:r>
        <w:t xml:space="preserve"> (Wertespanne: 34 - 78)</w:t>
      </w:r>
    </w:p>
    <w:p w:rsidR="006239F1" w:rsidRDefault="006239F1" w:rsidP="006239F1">
      <w:r>
        <w:t>Die Mittelsächsische Platte ist ein Lößlehmgebiet von großer Ausdehnung, in deren Zen</w:t>
      </w:r>
      <w:r>
        <w:t>t</w:t>
      </w:r>
      <w:r>
        <w:t>rum die Lommatzscher und Döbelner Pflege liegt. Das Ve</w:t>
      </w:r>
      <w:r>
        <w:t>r</w:t>
      </w:r>
      <w:r>
        <w:t>gleichsgebiet ist aufgrund seiner natürlichen Standortbedingungen ein traditionelles Ackerbaugebiet, das höchsten Anspr</w:t>
      </w:r>
      <w:r>
        <w:t>ü</w:t>
      </w:r>
      <w:r>
        <w:t>chen genügt. Charakteri</w:t>
      </w:r>
      <w:r>
        <w:t>s</w:t>
      </w:r>
      <w:r>
        <w:t>tisch für das Gebiet sind die landschaftsprägenden Kuppen mit teils steilen Lagen. Die Hangneigungen bedingen bei Starkniederschlägen auf vegetation</w:t>
      </w:r>
      <w:r>
        <w:t>s</w:t>
      </w:r>
      <w:r>
        <w:t xml:space="preserve">losen Flächen eine extrem hohe Erosionsgefährdung. Der Viehbesatz liegt unter dem Landesdurchschnitt. </w:t>
      </w: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r w:rsidRPr="00C17786">
        <w:rPr>
          <w:b/>
        </w:rPr>
        <w:lastRenderedPageBreak/>
        <w:t xml:space="preserve">Vergleichsgebiet </w:t>
      </w:r>
      <w:r>
        <w:rPr>
          <w:b/>
        </w:rPr>
        <w:t>9</w:t>
      </w:r>
      <w:r w:rsidRPr="00C17786">
        <w:rPr>
          <w:b/>
        </w:rPr>
        <w:t xml:space="preserve"> – </w:t>
      </w:r>
      <w:r>
        <w:rPr>
          <w:b/>
        </w:rPr>
        <w:t>Leipziger Tieflandsbucht</w:t>
      </w:r>
    </w:p>
    <w:p w:rsidR="006239F1" w:rsidRDefault="006239F1" w:rsidP="006239F1">
      <w:pPr>
        <w:rPr>
          <w:b/>
        </w:rPr>
      </w:pPr>
    </w:p>
    <w:p w:rsidR="006239F1" w:rsidRDefault="006239F1" w:rsidP="006239F1">
      <w:r>
        <w:rPr>
          <w:b/>
          <w:noProof/>
          <w:lang w:eastAsia="de-DE"/>
        </w:rPr>
        <w:drawing>
          <wp:anchor distT="0" distB="0" distL="114300" distR="114300" simplePos="0" relativeHeight="251667456" behindDoc="0" locked="0" layoutInCell="1" allowOverlap="1" wp14:anchorId="659F8F29" wp14:editId="35440404">
            <wp:simplePos x="0" y="0"/>
            <wp:positionH relativeFrom="column">
              <wp:posOffset>635</wp:posOffset>
            </wp:positionH>
            <wp:positionV relativeFrom="paragraph">
              <wp:posOffset>177800</wp:posOffset>
            </wp:positionV>
            <wp:extent cx="3556800" cy="2512800"/>
            <wp:effectExtent l="0" t="0" r="5715" b="190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09_rdax_413x292.jpg"/>
                    <pic:cNvPicPr/>
                  </pic:nvPicPr>
                  <pic:blipFill>
                    <a:blip r:embed="rId21">
                      <a:extLst>
                        <a:ext uri="{28A0092B-C50C-407E-A947-70E740481C1C}">
                          <a14:useLocalDpi xmlns:a14="http://schemas.microsoft.com/office/drawing/2010/main" val="0"/>
                        </a:ext>
                      </a:extLst>
                    </a:blip>
                    <a:stretch>
                      <a:fillRect/>
                    </a:stretch>
                  </pic:blipFill>
                  <pic:spPr>
                    <a:xfrm>
                      <a:off x="0" y="0"/>
                      <a:ext cx="3556800" cy="2512800"/>
                    </a:xfrm>
                    <a:prstGeom prst="rect">
                      <a:avLst/>
                    </a:prstGeom>
                  </pic:spPr>
                </pic:pic>
              </a:graphicData>
            </a:graphic>
            <wp14:sizeRelH relativeFrom="margin">
              <wp14:pctWidth>0</wp14:pctWidth>
            </wp14:sizeRelH>
            <wp14:sizeRelV relativeFrom="margin">
              <wp14:pctHeight>0</wp14:pctHeight>
            </wp14:sizeRelV>
          </wp:anchor>
        </w:drawing>
      </w:r>
      <w:r>
        <w:t>Kaltzeitliche Lössanwehungen bilden hier vornehmlich die Grundlage der Bodenbildung. Vorherrschend sind Lößböden der Standorteinheiten Lö2 bis Lö4. Vereinzelt treten auch bessere D-Standorte (D4 bis D6) auf.</w:t>
      </w:r>
    </w:p>
    <w:p w:rsidR="006239F1" w:rsidRDefault="006239F1" w:rsidP="006239F1">
      <w:pPr>
        <w:pStyle w:val="Listenabsatz"/>
        <w:numPr>
          <w:ilvl w:val="0"/>
          <w:numId w:val="2"/>
        </w:numPr>
      </w:pPr>
      <w:r>
        <w:t>landwirtschaftliche Nutzfläche: ca. 136.000 ha</w:t>
      </w:r>
    </w:p>
    <w:p w:rsidR="006239F1" w:rsidRDefault="006239F1" w:rsidP="006239F1">
      <w:pPr>
        <w:pStyle w:val="Listenabsatz"/>
        <w:numPr>
          <w:ilvl w:val="0"/>
          <w:numId w:val="2"/>
        </w:numPr>
      </w:pPr>
      <w:r>
        <w:t>durchschnittlicher Grünlandanteil: ca. 9 %</w:t>
      </w:r>
    </w:p>
    <w:p w:rsidR="004F2D87" w:rsidRDefault="004F2D87" w:rsidP="004F2D87">
      <w:pPr>
        <w:pStyle w:val="Listenabsatz"/>
        <w:numPr>
          <w:ilvl w:val="0"/>
          <w:numId w:val="2"/>
        </w:numPr>
      </w:pPr>
      <w:r>
        <w:t xml:space="preserve">Grünlandzahl: </w:t>
      </w:r>
      <w:r w:rsidRPr="00B033B5">
        <w:rPr>
          <w:rFonts w:cs="Arial"/>
        </w:rPr>
        <w:t>Ø</w:t>
      </w:r>
      <w:r>
        <w:t xml:space="preserve"> 38</w:t>
      </w:r>
    </w:p>
    <w:p w:rsidR="004F2D87" w:rsidRDefault="004F2D87" w:rsidP="006239F1">
      <w:pPr>
        <w:pStyle w:val="Listenabsatz"/>
        <w:numPr>
          <w:ilvl w:val="0"/>
          <w:numId w:val="2"/>
        </w:numPr>
      </w:pPr>
      <w:r>
        <w:t xml:space="preserve">Ackerzahl: </w:t>
      </w:r>
      <w:r w:rsidRPr="004F2D87">
        <w:rPr>
          <w:rFonts w:cs="Arial"/>
        </w:rPr>
        <w:t>Ø</w:t>
      </w:r>
      <w:r>
        <w:t xml:space="preserve"> 57</w:t>
      </w:r>
    </w:p>
    <w:p w:rsidR="006239F1" w:rsidRDefault="006239F1" w:rsidP="006239F1">
      <w:pPr>
        <w:pStyle w:val="Listenabsatz"/>
        <w:numPr>
          <w:ilvl w:val="0"/>
          <w:numId w:val="2"/>
        </w:numPr>
      </w:pPr>
      <w:r>
        <w:t>landwirtschaftliche Vergleichszahl: Ø 51 (Wertespanne: 34 bis 83)</w:t>
      </w:r>
    </w:p>
    <w:p w:rsidR="006239F1" w:rsidRDefault="006239F1" w:rsidP="006239F1">
      <w:r>
        <w:t>Die Leipziger Tieflandsbucht ist zum Teil völlig eben und wird vom Binnenlandklima, auch mitteldeutsches Trockenklima genannt, beeinflusst. Die B</w:t>
      </w:r>
      <w:r>
        <w:t>ö</w:t>
      </w:r>
      <w:r>
        <w:t>den des Vergleichsgebietes besitzen überwiegend gute bis sehr gute natürliche Standorteigenschaften und verfügen somit über eine überdurchschnit</w:t>
      </w:r>
      <w:r>
        <w:t>t</w:t>
      </w:r>
      <w:r>
        <w:t>liche Ertragsfähigkeit. Typisch für das Vergleichsgebiet sind weithin ausgeräumte Ackerflächen sowie massive Veränderungen durch jahrzehntelangen Braunkohleabbau. Die rekultivierten Kippenflächen sind immer Standorte geringerer Qualität.</w:t>
      </w: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r w:rsidRPr="00C17786">
        <w:rPr>
          <w:b/>
        </w:rPr>
        <w:lastRenderedPageBreak/>
        <w:t xml:space="preserve">Vergleichsgebiet </w:t>
      </w:r>
      <w:r>
        <w:rPr>
          <w:b/>
        </w:rPr>
        <w:t>10</w:t>
      </w:r>
      <w:r w:rsidRPr="00C17786">
        <w:rPr>
          <w:b/>
        </w:rPr>
        <w:t xml:space="preserve"> – </w:t>
      </w:r>
      <w:r>
        <w:rPr>
          <w:b/>
        </w:rPr>
        <w:t>Dübener-Dahlener Heide</w:t>
      </w:r>
    </w:p>
    <w:p w:rsidR="006239F1" w:rsidRDefault="006239F1" w:rsidP="006239F1">
      <w:pPr>
        <w:rPr>
          <w:b/>
        </w:rPr>
      </w:pPr>
    </w:p>
    <w:p w:rsidR="006239F1" w:rsidRDefault="006239F1" w:rsidP="006239F1">
      <w:r>
        <w:rPr>
          <w:b/>
          <w:noProof/>
          <w:lang w:eastAsia="de-DE"/>
        </w:rPr>
        <w:drawing>
          <wp:anchor distT="0" distB="0" distL="114300" distR="114300" simplePos="0" relativeHeight="251668480" behindDoc="0" locked="0" layoutInCell="1" allowOverlap="1" wp14:anchorId="2881223A" wp14:editId="7D0AE189">
            <wp:simplePos x="0" y="0"/>
            <wp:positionH relativeFrom="column">
              <wp:posOffset>635</wp:posOffset>
            </wp:positionH>
            <wp:positionV relativeFrom="paragraph">
              <wp:posOffset>177800</wp:posOffset>
            </wp:positionV>
            <wp:extent cx="3556800" cy="2516400"/>
            <wp:effectExtent l="0" t="0" r="571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10_rdax_413x292.jpg"/>
                    <pic:cNvPicPr/>
                  </pic:nvPicPr>
                  <pic:blipFill>
                    <a:blip r:embed="rId22">
                      <a:extLst>
                        <a:ext uri="{28A0092B-C50C-407E-A947-70E740481C1C}">
                          <a14:useLocalDpi xmlns:a14="http://schemas.microsoft.com/office/drawing/2010/main" val="0"/>
                        </a:ext>
                      </a:extLst>
                    </a:blip>
                    <a:stretch>
                      <a:fillRect/>
                    </a:stretch>
                  </pic:blipFill>
                  <pic:spPr>
                    <a:xfrm>
                      <a:off x="0" y="0"/>
                      <a:ext cx="3556800" cy="2516400"/>
                    </a:xfrm>
                    <a:prstGeom prst="rect">
                      <a:avLst/>
                    </a:prstGeom>
                  </pic:spPr>
                </pic:pic>
              </a:graphicData>
            </a:graphic>
            <wp14:sizeRelH relativeFrom="margin">
              <wp14:pctWidth>0</wp14:pctWidth>
            </wp14:sizeRelH>
            <wp14:sizeRelV relativeFrom="margin">
              <wp14:pctHeight>0</wp14:pctHeight>
            </wp14:sizeRelV>
          </wp:anchor>
        </w:drawing>
      </w:r>
      <w:r>
        <w:t>Leichte Böden aus diluvialer Entstehung, mit Standorteinheiten D3 und D4 bilden die V</w:t>
      </w:r>
      <w:r>
        <w:t>o</w:t>
      </w:r>
      <w:r>
        <w:t xml:space="preserve">raussetzung der landwirtschaftlichen Produktion im </w:t>
      </w:r>
      <w:r w:rsidR="00DD3D8D">
        <w:t>V</w:t>
      </w:r>
      <w:r>
        <w:t>e</w:t>
      </w:r>
      <w:r>
        <w:t>r</w:t>
      </w:r>
      <w:r>
        <w:t>gleich</w:t>
      </w:r>
      <w:r w:rsidR="00DD3D8D">
        <w:t>s</w:t>
      </w:r>
      <w:r>
        <w:t xml:space="preserve">gebiet 10. </w:t>
      </w:r>
    </w:p>
    <w:p w:rsidR="006239F1" w:rsidRDefault="006239F1" w:rsidP="006239F1">
      <w:pPr>
        <w:pStyle w:val="Listenabsatz"/>
        <w:numPr>
          <w:ilvl w:val="0"/>
          <w:numId w:val="2"/>
        </w:numPr>
      </w:pPr>
      <w:r>
        <w:t>landwirtschaftliche Nutzfläche: ca. 57.000 ha</w:t>
      </w:r>
    </w:p>
    <w:p w:rsidR="006239F1" w:rsidRDefault="006239F1" w:rsidP="006239F1">
      <w:pPr>
        <w:pStyle w:val="Listenabsatz"/>
        <w:numPr>
          <w:ilvl w:val="0"/>
          <w:numId w:val="2"/>
        </w:numPr>
      </w:pPr>
      <w:r>
        <w:t>durchschnittlicher Grünlandanteil: ca. 18 %</w:t>
      </w:r>
    </w:p>
    <w:p w:rsidR="004F2D87" w:rsidRDefault="004F2D87" w:rsidP="004F2D87">
      <w:pPr>
        <w:pStyle w:val="Listenabsatz"/>
        <w:numPr>
          <w:ilvl w:val="0"/>
          <w:numId w:val="2"/>
        </w:numPr>
      </w:pPr>
      <w:r>
        <w:t xml:space="preserve">Grünlandzahl: </w:t>
      </w:r>
      <w:r w:rsidRPr="00B033B5">
        <w:rPr>
          <w:rFonts w:cs="Arial"/>
        </w:rPr>
        <w:t>Ø</w:t>
      </w:r>
      <w:r>
        <w:t xml:space="preserve"> 39</w:t>
      </w:r>
    </w:p>
    <w:p w:rsidR="004F2D87" w:rsidRDefault="004F2D87" w:rsidP="006239F1">
      <w:pPr>
        <w:pStyle w:val="Listenabsatz"/>
        <w:numPr>
          <w:ilvl w:val="0"/>
          <w:numId w:val="2"/>
        </w:numPr>
      </w:pPr>
      <w:r>
        <w:t xml:space="preserve">Ackerzahl: </w:t>
      </w:r>
      <w:r w:rsidRPr="004F2D87">
        <w:rPr>
          <w:rFonts w:cs="Arial"/>
        </w:rPr>
        <w:t>Ø</w:t>
      </w:r>
      <w:r>
        <w:t xml:space="preserve"> 37</w:t>
      </w:r>
    </w:p>
    <w:p w:rsidR="006239F1" w:rsidRDefault="006239F1" w:rsidP="006239F1">
      <w:pPr>
        <w:pStyle w:val="Listenabsatz"/>
        <w:numPr>
          <w:ilvl w:val="0"/>
          <w:numId w:val="2"/>
        </w:numPr>
      </w:pPr>
      <w:r>
        <w:t>landwirt</w:t>
      </w:r>
      <w:r w:rsidR="004F2D87">
        <w:t>schaftliche Vergleichszahl: Ø 31</w:t>
      </w:r>
      <w:r>
        <w:t xml:space="preserve"> (Wertespanne: 20 - 55)</w:t>
      </w:r>
    </w:p>
    <w:p w:rsidR="006239F1" w:rsidRDefault="006239F1" w:rsidP="006239F1">
      <w:r>
        <w:t>Die geringen Niederschläge (&lt; 550 mm) gepaart mit den geringem Wasserhaltevermögen der Böden im Vergleichsgebiet verschlechtert die Bedingungen für eine ackerbauliche Nu</w:t>
      </w:r>
      <w:r>
        <w:t>t</w:t>
      </w:r>
      <w:r>
        <w:t>zung. Aus landwirtschaftlicher Sicht können daher große Teile des Vergleichsgebietes nur als "bedingt geeignet für die Ackernutzung" eingestuft werden. Ohne eine zusätzliche B</w:t>
      </w:r>
      <w:r>
        <w:t>e</w:t>
      </w:r>
      <w:r>
        <w:t xml:space="preserve">wässerung kann in diesem Gebiet kaum eine rentable Marktfruchtproduktion betrieben werden, da mit deutlichen Ertragsschwankungen und -ausfällen zu rechnen ist. Trotzdem weist das Vergleichsgebiet einen überdurchschnittlich hohen Ackerlandanteil an der LF auf. </w:t>
      </w:r>
    </w:p>
    <w:p w:rsidR="006239F1" w:rsidRDefault="006239F1" w:rsidP="006239F1">
      <w:r>
        <w:t>Aufgrund der geringen Hangneigung und der Bodeneigenschaften ist die geringe Wassererosionsgefährdung zu verzeichnen. Die zahlreich in die Landschaft eingestreuten Waldflächen schützen die Ackerflächen weitestgehend vor Winderosion.</w:t>
      </w: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p>
    <w:p w:rsidR="006239F1" w:rsidRDefault="006239F1" w:rsidP="006239F1">
      <w:pPr>
        <w:rPr>
          <w:b/>
        </w:rPr>
      </w:pPr>
      <w:r w:rsidRPr="00C17786">
        <w:rPr>
          <w:b/>
        </w:rPr>
        <w:lastRenderedPageBreak/>
        <w:t xml:space="preserve">Vergleichsgebiet </w:t>
      </w:r>
      <w:r>
        <w:rPr>
          <w:b/>
        </w:rPr>
        <w:t>11</w:t>
      </w:r>
      <w:r w:rsidRPr="00C17786">
        <w:rPr>
          <w:b/>
        </w:rPr>
        <w:t xml:space="preserve"> – </w:t>
      </w:r>
      <w:r>
        <w:rPr>
          <w:b/>
        </w:rPr>
        <w:t>Sächsische Elbtalniederung</w:t>
      </w:r>
    </w:p>
    <w:p w:rsidR="006239F1" w:rsidRDefault="006239F1" w:rsidP="006239F1">
      <w:pPr>
        <w:rPr>
          <w:b/>
        </w:rPr>
      </w:pPr>
    </w:p>
    <w:p w:rsidR="006239F1" w:rsidRDefault="006239F1" w:rsidP="006239F1">
      <w:r>
        <w:rPr>
          <w:b/>
          <w:noProof/>
          <w:lang w:eastAsia="de-DE"/>
        </w:rPr>
        <w:drawing>
          <wp:anchor distT="0" distB="0" distL="114300" distR="114300" simplePos="0" relativeHeight="251669504" behindDoc="0" locked="0" layoutInCell="1" allowOverlap="1" wp14:anchorId="5745E114" wp14:editId="2ED89282">
            <wp:simplePos x="0" y="0"/>
            <wp:positionH relativeFrom="column">
              <wp:posOffset>635</wp:posOffset>
            </wp:positionH>
            <wp:positionV relativeFrom="paragraph">
              <wp:posOffset>177800</wp:posOffset>
            </wp:positionV>
            <wp:extent cx="3556800" cy="2512800"/>
            <wp:effectExtent l="0" t="0" r="5715" b="190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IS_VG11_rdax_413x292.jpg"/>
                    <pic:cNvPicPr/>
                  </pic:nvPicPr>
                  <pic:blipFill>
                    <a:blip r:embed="rId23">
                      <a:extLst>
                        <a:ext uri="{28A0092B-C50C-407E-A947-70E740481C1C}">
                          <a14:useLocalDpi xmlns:a14="http://schemas.microsoft.com/office/drawing/2010/main" val="0"/>
                        </a:ext>
                      </a:extLst>
                    </a:blip>
                    <a:stretch>
                      <a:fillRect/>
                    </a:stretch>
                  </pic:blipFill>
                  <pic:spPr>
                    <a:xfrm>
                      <a:off x="0" y="0"/>
                      <a:ext cx="3556800" cy="2512800"/>
                    </a:xfrm>
                    <a:prstGeom prst="rect">
                      <a:avLst/>
                    </a:prstGeom>
                  </pic:spPr>
                </pic:pic>
              </a:graphicData>
            </a:graphic>
            <wp14:sizeRelH relativeFrom="margin">
              <wp14:pctWidth>0</wp14:pctWidth>
            </wp14:sizeRelH>
            <wp14:sizeRelV relativeFrom="margin">
              <wp14:pctHeight>0</wp14:pctHeight>
            </wp14:sizeRelV>
          </wp:anchor>
        </w:drawing>
      </w:r>
      <w:r>
        <w:t xml:space="preserve">Alluviale Auenböden mit hohen Lehm- und Tonanteilen charakterisieren die dominierende Standorteinheit Al3 im sächsischen Raum. </w:t>
      </w:r>
    </w:p>
    <w:p w:rsidR="006239F1" w:rsidRDefault="006239F1" w:rsidP="006239F1">
      <w:pPr>
        <w:pStyle w:val="Listenabsatz"/>
        <w:numPr>
          <w:ilvl w:val="0"/>
          <w:numId w:val="2"/>
        </w:numPr>
      </w:pPr>
      <w:r>
        <w:t>landwirtschaftliche Nutzfläche: ca. 17.000 ha</w:t>
      </w:r>
    </w:p>
    <w:p w:rsidR="006239F1" w:rsidRDefault="006239F1" w:rsidP="006239F1">
      <w:pPr>
        <w:pStyle w:val="Listenabsatz"/>
        <w:numPr>
          <w:ilvl w:val="0"/>
          <w:numId w:val="2"/>
        </w:numPr>
      </w:pPr>
      <w:r>
        <w:t>durchschnittlicher Grünlandanteil: ca. 16 %</w:t>
      </w:r>
    </w:p>
    <w:p w:rsidR="004F2D87" w:rsidRDefault="004F2D87" w:rsidP="004F2D87">
      <w:pPr>
        <w:pStyle w:val="Listenabsatz"/>
        <w:numPr>
          <w:ilvl w:val="0"/>
          <w:numId w:val="2"/>
        </w:numPr>
      </w:pPr>
      <w:r>
        <w:t xml:space="preserve">Grünlandzahl: </w:t>
      </w:r>
      <w:r w:rsidRPr="00B033B5">
        <w:rPr>
          <w:rFonts w:cs="Arial"/>
        </w:rPr>
        <w:t>Ø</w:t>
      </w:r>
      <w:r>
        <w:t xml:space="preserve"> 43</w:t>
      </w:r>
    </w:p>
    <w:p w:rsidR="004F2D87" w:rsidRDefault="004F2D87" w:rsidP="004F2D87">
      <w:pPr>
        <w:pStyle w:val="Listenabsatz"/>
        <w:numPr>
          <w:ilvl w:val="0"/>
          <w:numId w:val="2"/>
        </w:numPr>
      </w:pPr>
      <w:r>
        <w:t xml:space="preserve">Ackerzahl: </w:t>
      </w:r>
      <w:r w:rsidRPr="00B033B5">
        <w:rPr>
          <w:rFonts w:cs="Arial"/>
        </w:rPr>
        <w:t>Ø</w:t>
      </w:r>
      <w:r>
        <w:t xml:space="preserve"> 57</w:t>
      </w:r>
    </w:p>
    <w:p w:rsidR="006239F1" w:rsidRDefault="006239F1" w:rsidP="006239F1">
      <w:pPr>
        <w:pStyle w:val="Listenabsatz"/>
        <w:numPr>
          <w:ilvl w:val="0"/>
          <w:numId w:val="2"/>
        </w:numPr>
      </w:pPr>
      <w:r>
        <w:t>landwirtschaftliche Vergleichszahl: Ø 47 (Wertespanne 26 - 55)</w:t>
      </w:r>
    </w:p>
    <w:p w:rsidR="006239F1" w:rsidRDefault="006239F1" w:rsidP="006239F1">
      <w:r>
        <w:t>Charakteristisch für die Elbtalniederung im Torgauer Raum sind ertragsfähige, grundwa</w:t>
      </w:r>
      <w:r>
        <w:t>s</w:t>
      </w:r>
      <w:r>
        <w:t>sernahe und zur Vernässung neigende landwirtschaftliche Nutzflächen mit geringer Eros</w:t>
      </w:r>
      <w:r>
        <w:t>i</w:t>
      </w:r>
      <w:r>
        <w:t>onsgefährdung. Die wechselnd vernässten Auenlehmstandorte eignen sich überwiegend gut für den Anbau aller Kulturen. Das Vergleichsgebiet gehört zu den traditionellen Agra</w:t>
      </w:r>
      <w:r>
        <w:t>r</w:t>
      </w:r>
      <w:r>
        <w:t>gebieten.</w:t>
      </w:r>
    </w:p>
    <w:p w:rsidR="006239F1" w:rsidRDefault="006239F1" w:rsidP="006239F1">
      <w:pPr>
        <w:rPr>
          <w:b/>
        </w:rPr>
      </w:pPr>
    </w:p>
    <w:p w:rsidR="007A1527" w:rsidRDefault="007A1527" w:rsidP="006239F1">
      <w:pPr>
        <w:rPr>
          <w:b/>
        </w:rPr>
      </w:pPr>
    </w:p>
    <w:sdt>
      <w:sdtPr>
        <w:id w:val="1546177181"/>
        <w:docPartObj>
          <w:docPartGallery w:val="Bibliographies"/>
          <w:docPartUnique/>
        </w:docPartObj>
      </w:sdtPr>
      <w:sdtEndPr>
        <w:rPr>
          <w:rFonts w:ascii="Arial" w:eastAsiaTheme="minorHAnsi" w:hAnsi="Arial" w:cstheme="minorBidi"/>
          <w:b w:val="0"/>
          <w:bCs w:val="0"/>
          <w:color w:val="auto"/>
          <w:sz w:val="22"/>
          <w:szCs w:val="22"/>
          <w:lang w:eastAsia="en-US"/>
        </w:rPr>
      </w:sdtEndPr>
      <w:sdtContent>
        <w:p w:rsidR="007A1527" w:rsidRDefault="007A1527">
          <w:pPr>
            <w:pStyle w:val="berschrift1"/>
          </w:pPr>
          <w:r>
            <w:t>Literaturverzeichnis</w:t>
          </w:r>
        </w:p>
        <w:sdt>
          <w:sdtPr>
            <w:id w:val="111145805"/>
            <w:bibliography/>
          </w:sdtPr>
          <w:sdtContent>
            <w:p w:rsidR="007A1527" w:rsidRDefault="007A1527" w:rsidP="007A1527">
              <w:pPr>
                <w:pStyle w:val="Literaturverzeichnis"/>
                <w:ind w:left="720" w:hanging="720"/>
                <w:rPr>
                  <w:noProof/>
                </w:rPr>
              </w:pPr>
              <w:r>
                <w:fldChar w:fldCharType="begin"/>
              </w:r>
              <w:r>
                <w:instrText>BIBLIOGRAPHY</w:instrText>
              </w:r>
              <w:r>
                <w:fldChar w:fldCharType="separate"/>
              </w:r>
              <w:r>
                <w:rPr>
                  <w:noProof/>
                </w:rPr>
                <w:t xml:space="preserve">Maerker, L., &amp; Paulig, H. (1993). </w:t>
              </w:r>
              <w:r>
                <w:rPr>
                  <w:i/>
                  <w:iCs/>
                  <w:noProof/>
                </w:rPr>
                <w:t>Kleine sächsische Landeskunde.</w:t>
              </w:r>
              <w:r>
                <w:rPr>
                  <w:noProof/>
                </w:rPr>
                <w:t xml:space="preserve"> Dresden: Hellerau-Verlag.</w:t>
              </w:r>
            </w:p>
            <w:p w:rsidR="007A1527" w:rsidRDefault="007A1527" w:rsidP="007A1527">
              <w:r>
                <w:rPr>
                  <w:b/>
                  <w:bCs/>
                </w:rPr>
                <w:fldChar w:fldCharType="end"/>
              </w:r>
            </w:p>
          </w:sdtContent>
        </w:sdt>
      </w:sdtContent>
    </w:sdt>
    <w:p w:rsidR="007A1527" w:rsidRDefault="007A1527" w:rsidP="006239F1">
      <w:pPr>
        <w:rPr>
          <w:b/>
        </w:rPr>
      </w:pPr>
    </w:p>
    <w:p w:rsidR="007A1527" w:rsidRDefault="007A1527" w:rsidP="007A1527"/>
    <w:p w:rsidR="007A1527" w:rsidRPr="007A1527" w:rsidRDefault="007A1527" w:rsidP="007A1527">
      <w:pPr>
        <w:tabs>
          <w:tab w:val="left" w:pos="8220"/>
        </w:tabs>
      </w:pPr>
      <w:r>
        <w:tab/>
      </w:r>
      <w:bookmarkStart w:id="0" w:name="_GoBack"/>
      <w:bookmarkEnd w:id="0"/>
    </w:p>
    <w:sectPr w:rsidR="007A1527" w:rsidRPr="007A1527" w:rsidSect="001224B6">
      <w:footerReference w:type="default" r:id="rId24"/>
      <w:pgSz w:w="16838" w:h="11906" w:orient="landscape"/>
      <w:pgMar w:top="851" w:right="851" w:bottom="851"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D8D" w:rsidRDefault="00DD3D8D" w:rsidP="00DD3D8D">
      <w:pPr>
        <w:spacing w:line="240" w:lineRule="auto"/>
      </w:pPr>
      <w:r>
        <w:separator/>
      </w:r>
    </w:p>
  </w:endnote>
  <w:endnote w:type="continuationSeparator" w:id="0">
    <w:p w:rsidR="00DD3D8D" w:rsidRDefault="00DD3D8D" w:rsidP="00DD3D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092389"/>
      <w:docPartObj>
        <w:docPartGallery w:val="Page Numbers (Bottom of Page)"/>
        <w:docPartUnique/>
      </w:docPartObj>
    </w:sdtPr>
    <w:sdtContent>
      <w:sdt>
        <w:sdtPr>
          <w:id w:val="860082579"/>
          <w:docPartObj>
            <w:docPartGallery w:val="Page Numbers (Top of Page)"/>
            <w:docPartUnique/>
          </w:docPartObj>
        </w:sdtPr>
        <w:sdtContent>
          <w:p w:rsidR="00DD3D8D" w:rsidRDefault="00DD3D8D">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sidR="007A1527">
              <w:rPr>
                <w:b/>
                <w:bCs/>
                <w:noProof/>
              </w:rPr>
              <w:t>15</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7A1527">
              <w:rPr>
                <w:b/>
                <w:bCs/>
                <w:noProof/>
              </w:rPr>
              <w:t>15</w:t>
            </w:r>
            <w:r>
              <w:rPr>
                <w:b/>
                <w:bCs/>
                <w:sz w:val="24"/>
                <w:szCs w:val="24"/>
              </w:rPr>
              <w:fldChar w:fldCharType="end"/>
            </w:r>
          </w:p>
        </w:sdtContent>
      </w:sdt>
    </w:sdtContent>
  </w:sdt>
  <w:p w:rsidR="00DD3D8D" w:rsidRDefault="00DD3D8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D8D" w:rsidRDefault="00DD3D8D" w:rsidP="00DD3D8D">
      <w:pPr>
        <w:spacing w:line="240" w:lineRule="auto"/>
      </w:pPr>
      <w:r>
        <w:separator/>
      </w:r>
    </w:p>
  </w:footnote>
  <w:footnote w:type="continuationSeparator" w:id="0">
    <w:p w:rsidR="00DD3D8D" w:rsidRDefault="00DD3D8D" w:rsidP="00DD3D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60B78"/>
    <w:multiLevelType w:val="hybridMultilevel"/>
    <w:tmpl w:val="70F6214C"/>
    <w:lvl w:ilvl="0" w:tplc="B654606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06227D"/>
    <w:multiLevelType w:val="hybridMultilevel"/>
    <w:tmpl w:val="819E0886"/>
    <w:lvl w:ilvl="0" w:tplc="38B4D668">
      <w:start w:val="1"/>
      <w:numFmt w:val="bullet"/>
      <w:lvlText w:val="❙"/>
      <w:lvlJc w:val="left"/>
      <w:pPr>
        <w:tabs>
          <w:tab w:val="num" w:pos="720"/>
        </w:tabs>
        <w:ind w:left="720" w:hanging="360"/>
      </w:pPr>
      <w:rPr>
        <w:rFonts w:ascii="Arial Unicode MS" w:hAnsi="Arial Unicode MS" w:hint="default"/>
      </w:rPr>
    </w:lvl>
    <w:lvl w:ilvl="1" w:tplc="0916FE86" w:tentative="1">
      <w:start w:val="1"/>
      <w:numFmt w:val="bullet"/>
      <w:lvlText w:val="❙"/>
      <w:lvlJc w:val="left"/>
      <w:pPr>
        <w:tabs>
          <w:tab w:val="num" w:pos="1440"/>
        </w:tabs>
        <w:ind w:left="1440" w:hanging="360"/>
      </w:pPr>
      <w:rPr>
        <w:rFonts w:ascii="Arial Unicode MS" w:hAnsi="Arial Unicode MS" w:hint="default"/>
      </w:rPr>
    </w:lvl>
    <w:lvl w:ilvl="2" w:tplc="0A62CFDA" w:tentative="1">
      <w:start w:val="1"/>
      <w:numFmt w:val="bullet"/>
      <w:lvlText w:val="❙"/>
      <w:lvlJc w:val="left"/>
      <w:pPr>
        <w:tabs>
          <w:tab w:val="num" w:pos="2160"/>
        </w:tabs>
        <w:ind w:left="2160" w:hanging="360"/>
      </w:pPr>
      <w:rPr>
        <w:rFonts w:ascii="Arial Unicode MS" w:hAnsi="Arial Unicode MS" w:hint="default"/>
      </w:rPr>
    </w:lvl>
    <w:lvl w:ilvl="3" w:tplc="8730CF7A" w:tentative="1">
      <w:start w:val="1"/>
      <w:numFmt w:val="bullet"/>
      <w:lvlText w:val="❙"/>
      <w:lvlJc w:val="left"/>
      <w:pPr>
        <w:tabs>
          <w:tab w:val="num" w:pos="2880"/>
        </w:tabs>
        <w:ind w:left="2880" w:hanging="360"/>
      </w:pPr>
      <w:rPr>
        <w:rFonts w:ascii="Arial Unicode MS" w:hAnsi="Arial Unicode MS" w:hint="default"/>
      </w:rPr>
    </w:lvl>
    <w:lvl w:ilvl="4" w:tplc="1D9898AA" w:tentative="1">
      <w:start w:val="1"/>
      <w:numFmt w:val="bullet"/>
      <w:lvlText w:val="❙"/>
      <w:lvlJc w:val="left"/>
      <w:pPr>
        <w:tabs>
          <w:tab w:val="num" w:pos="3600"/>
        </w:tabs>
        <w:ind w:left="3600" w:hanging="360"/>
      </w:pPr>
      <w:rPr>
        <w:rFonts w:ascii="Arial Unicode MS" w:hAnsi="Arial Unicode MS" w:hint="default"/>
      </w:rPr>
    </w:lvl>
    <w:lvl w:ilvl="5" w:tplc="437448A4" w:tentative="1">
      <w:start w:val="1"/>
      <w:numFmt w:val="bullet"/>
      <w:lvlText w:val="❙"/>
      <w:lvlJc w:val="left"/>
      <w:pPr>
        <w:tabs>
          <w:tab w:val="num" w:pos="4320"/>
        </w:tabs>
        <w:ind w:left="4320" w:hanging="360"/>
      </w:pPr>
      <w:rPr>
        <w:rFonts w:ascii="Arial Unicode MS" w:hAnsi="Arial Unicode MS" w:hint="default"/>
      </w:rPr>
    </w:lvl>
    <w:lvl w:ilvl="6" w:tplc="37505324" w:tentative="1">
      <w:start w:val="1"/>
      <w:numFmt w:val="bullet"/>
      <w:lvlText w:val="❙"/>
      <w:lvlJc w:val="left"/>
      <w:pPr>
        <w:tabs>
          <w:tab w:val="num" w:pos="5040"/>
        </w:tabs>
        <w:ind w:left="5040" w:hanging="360"/>
      </w:pPr>
      <w:rPr>
        <w:rFonts w:ascii="Arial Unicode MS" w:hAnsi="Arial Unicode MS" w:hint="default"/>
      </w:rPr>
    </w:lvl>
    <w:lvl w:ilvl="7" w:tplc="F0F450DE" w:tentative="1">
      <w:start w:val="1"/>
      <w:numFmt w:val="bullet"/>
      <w:lvlText w:val="❙"/>
      <w:lvlJc w:val="left"/>
      <w:pPr>
        <w:tabs>
          <w:tab w:val="num" w:pos="5760"/>
        </w:tabs>
        <w:ind w:left="5760" w:hanging="360"/>
      </w:pPr>
      <w:rPr>
        <w:rFonts w:ascii="Arial Unicode MS" w:hAnsi="Arial Unicode MS" w:hint="default"/>
      </w:rPr>
    </w:lvl>
    <w:lvl w:ilvl="8" w:tplc="AB766756" w:tentative="1">
      <w:start w:val="1"/>
      <w:numFmt w:val="bullet"/>
      <w:lvlText w:val="❙"/>
      <w:lvlJc w:val="left"/>
      <w:pPr>
        <w:tabs>
          <w:tab w:val="num" w:pos="6480"/>
        </w:tabs>
        <w:ind w:left="6480" w:hanging="360"/>
      </w:pPr>
      <w:rPr>
        <w:rFonts w:ascii="Arial Unicode MS" w:hAnsi="Arial Unicode MS" w:hint="default"/>
      </w:rPr>
    </w:lvl>
  </w:abstractNum>
  <w:abstractNum w:abstractNumId="2">
    <w:nsid w:val="29E734D4"/>
    <w:multiLevelType w:val="hybridMultilevel"/>
    <w:tmpl w:val="E822173A"/>
    <w:lvl w:ilvl="0" w:tplc="9388345E">
      <w:start w:val="1"/>
      <w:numFmt w:val="upperRoman"/>
      <w:lvlText w:val="%1."/>
      <w:lvlJc w:val="right"/>
      <w:pPr>
        <w:tabs>
          <w:tab w:val="num" w:pos="720"/>
        </w:tabs>
        <w:ind w:left="720" w:hanging="360"/>
      </w:pPr>
    </w:lvl>
    <w:lvl w:ilvl="1" w:tplc="7438F3EC" w:tentative="1">
      <w:start w:val="1"/>
      <w:numFmt w:val="upperRoman"/>
      <w:lvlText w:val="%2."/>
      <w:lvlJc w:val="right"/>
      <w:pPr>
        <w:tabs>
          <w:tab w:val="num" w:pos="1440"/>
        </w:tabs>
        <w:ind w:left="1440" w:hanging="360"/>
      </w:pPr>
    </w:lvl>
    <w:lvl w:ilvl="2" w:tplc="27986778" w:tentative="1">
      <w:start w:val="1"/>
      <w:numFmt w:val="upperRoman"/>
      <w:lvlText w:val="%3."/>
      <w:lvlJc w:val="right"/>
      <w:pPr>
        <w:tabs>
          <w:tab w:val="num" w:pos="2160"/>
        </w:tabs>
        <w:ind w:left="2160" w:hanging="360"/>
      </w:pPr>
    </w:lvl>
    <w:lvl w:ilvl="3" w:tplc="D9308BB2" w:tentative="1">
      <w:start w:val="1"/>
      <w:numFmt w:val="upperRoman"/>
      <w:lvlText w:val="%4."/>
      <w:lvlJc w:val="right"/>
      <w:pPr>
        <w:tabs>
          <w:tab w:val="num" w:pos="2880"/>
        </w:tabs>
        <w:ind w:left="2880" w:hanging="360"/>
      </w:pPr>
    </w:lvl>
    <w:lvl w:ilvl="4" w:tplc="B4440240" w:tentative="1">
      <w:start w:val="1"/>
      <w:numFmt w:val="upperRoman"/>
      <w:lvlText w:val="%5."/>
      <w:lvlJc w:val="right"/>
      <w:pPr>
        <w:tabs>
          <w:tab w:val="num" w:pos="3600"/>
        </w:tabs>
        <w:ind w:left="3600" w:hanging="360"/>
      </w:pPr>
    </w:lvl>
    <w:lvl w:ilvl="5" w:tplc="8F68054C" w:tentative="1">
      <w:start w:val="1"/>
      <w:numFmt w:val="upperRoman"/>
      <w:lvlText w:val="%6."/>
      <w:lvlJc w:val="right"/>
      <w:pPr>
        <w:tabs>
          <w:tab w:val="num" w:pos="4320"/>
        </w:tabs>
        <w:ind w:left="4320" w:hanging="360"/>
      </w:pPr>
    </w:lvl>
    <w:lvl w:ilvl="6" w:tplc="93301970" w:tentative="1">
      <w:start w:val="1"/>
      <w:numFmt w:val="upperRoman"/>
      <w:lvlText w:val="%7."/>
      <w:lvlJc w:val="right"/>
      <w:pPr>
        <w:tabs>
          <w:tab w:val="num" w:pos="5040"/>
        </w:tabs>
        <w:ind w:left="5040" w:hanging="360"/>
      </w:pPr>
    </w:lvl>
    <w:lvl w:ilvl="7" w:tplc="20EC83A0" w:tentative="1">
      <w:start w:val="1"/>
      <w:numFmt w:val="upperRoman"/>
      <w:lvlText w:val="%8."/>
      <w:lvlJc w:val="right"/>
      <w:pPr>
        <w:tabs>
          <w:tab w:val="num" w:pos="5760"/>
        </w:tabs>
        <w:ind w:left="5760" w:hanging="360"/>
      </w:pPr>
    </w:lvl>
    <w:lvl w:ilvl="8" w:tplc="3424DB0C" w:tentative="1">
      <w:start w:val="1"/>
      <w:numFmt w:val="upperRoman"/>
      <w:lvlText w:val="%9."/>
      <w:lvlJc w:val="right"/>
      <w:pPr>
        <w:tabs>
          <w:tab w:val="num" w:pos="6480"/>
        </w:tabs>
        <w:ind w:left="6480" w:hanging="360"/>
      </w:pPr>
    </w:lvl>
  </w:abstractNum>
  <w:abstractNum w:abstractNumId="3">
    <w:nsid w:val="4A752358"/>
    <w:multiLevelType w:val="hybridMultilevel"/>
    <w:tmpl w:val="F78C7B12"/>
    <w:lvl w:ilvl="0" w:tplc="5FC0C2F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B6"/>
    <w:rsid w:val="00066AFB"/>
    <w:rsid w:val="00075734"/>
    <w:rsid w:val="001224B6"/>
    <w:rsid w:val="002522AC"/>
    <w:rsid w:val="002B069E"/>
    <w:rsid w:val="00337DDC"/>
    <w:rsid w:val="004062B6"/>
    <w:rsid w:val="00454720"/>
    <w:rsid w:val="004F2D87"/>
    <w:rsid w:val="00511657"/>
    <w:rsid w:val="006239F1"/>
    <w:rsid w:val="00712AA0"/>
    <w:rsid w:val="007641ED"/>
    <w:rsid w:val="007A1527"/>
    <w:rsid w:val="00924016"/>
    <w:rsid w:val="00986982"/>
    <w:rsid w:val="00AB37E3"/>
    <w:rsid w:val="00B033B5"/>
    <w:rsid w:val="00B14FF6"/>
    <w:rsid w:val="00B7276D"/>
    <w:rsid w:val="00BE191B"/>
    <w:rsid w:val="00C17786"/>
    <w:rsid w:val="00C27701"/>
    <w:rsid w:val="00C82F0C"/>
    <w:rsid w:val="00D81A3D"/>
    <w:rsid w:val="00DD3D8D"/>
    <w:rsid w:val="00E35B33"/>
    <w:rsid w:val="00E41CB4"/>
    <w:rsid w:val="00F32F21"/>
    <w:rsid w:val="00FA4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E191B"/>
    <w:pPr>
      <w:spacing w:after="0" w:line="360" w:lineRule="auto"/>
      <w:jc w:val="both"/>
    </w:pPr>
    <w:rPr>
      <w:rFonts w:ascii="Arial" w:hAnsi="Arial"/>
    </w:rPr>
  </w:style>
  <w:style w:type="paragraph" w:styleId="berschrift1">
    <w:name w:val="heading 1"/>
    <w:basedOn w:val="Standard"/>
    <w:next w:val="Standard"/>
    <w:link w:val="berschrift1Zchn"/>
    <w:uiPriority w:val="9"/>
    <w:qFormat/>
    <w:rsid w:val="007A1527"/>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224B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24B6"/>
    <w:rPr>
      <w:rFonts w:ascii="Tahoma" w:hAnsi="Tahoma" w:cs="Tahoma"/>
      <w:sz w:val="16"/>
      <w:szCs w:val="16"/>
    </w:rPr>
  </w:style>
  <w:style w:type="paragraph" w:styleId="StandardWeb">
    <w:name w:val="Normal (Web)"/>
    <w:basedOn w:val="Standard"/>
    <w:uiPriority w:val="99"/>
    <w:semiHidden/>
    <w:unhideWhenUsed/>
    <w:rsid w:val="001224B6"/>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1224B6"/>
    <w:pPr>
      <w:ind w:left="720"/>
      <w:contextualSpacing/>
    </w:pPr>
  </w:style>
  <w:style w:type="paragraph" w:styleId="Beschriftung">
    <w:name w:val="caption"/>
    <w:basedOn w:val="Standard"/>
    <w:next w:val="Standard"/>
    <w:uiPriority w:val="35"/>
    <w:unhideWhenUsed/>
    <w:qFormat/>
    <w:rsid w:val="00FA4D0F"/>
    <w:pPr>
      <w:spacing w:after="200" w:line="240" w:lineRule="auto"/>
    </w:pPr>
    <w:rPr>
      <w:b/>
      <w:bCs/>
      <w:color w:val="4F81BD" w:themeColor="accent1"/>
      <w:sz w:val="18"/>
      <w:szCs w:val="18"/>
    </w:rPr>
  </w:style>
  <w:style w:type="paragraph" w:styleId="Kopfzeile">
    <w:name w:val="header"/>
    <w:basedOn w:val="Standard"/>
    <w:link w:val="KopfzeileZchn"/>
    <w:uiPriority w:val="99"/>
    <w:unhideWhenUsed/>
    <w:rsid w:val="00DD3D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D3D8D"/>
    <w:rPr>
      <w:rFonts w:ascii="Arial" w:hAnsi="Arial"/>
    </w:rPr>
  </w:style>
  <w:style w:type="paragraph" w:styleId="Fuzeile">
    <w:name w:val="footer"/>
    <w:basedOn w:val="Standard"/>
    <w:link w:val="FuzeileZchn"/>
    <w:uiPriority w:val="99"/>
    <w:unhideWhenUsed/>
    <w:rsid w:val="00DD3D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D3D8D"/>
    <w:rPr>
      <w:rFonts w:ascii="Arial" w:hAnsi="Arial"/>
    </w:rPr>
  </w:style>
  <w:style w:type="character" w:customStyle="1" w:styleId="berschrift1Zchn">
    <w:name w:val="Überschrift 1 Zchn"/>
    <w:basedOn w:val="Absatz-Standardschriftart"/>
    <w:link w:val="berschrift1"/>
    <w:uiPriority w:val="9"/>
    <w:rsid w:val="007A1527"/>
    <w:rPr>
      <w:rFonts w:asciiTheme="majorHAnsi" w:eastAsiaTheme="majorEastAsia" w:hAnsiTheme="majorHAnsi" w:cstheme="majorBidi"/>
      <w:b/>
      <w:bCs/>
      <w:color w:val="365F91" w:themeColor="accent1" w:themeShade="BF"/>
      <w:sz w:val="28"/>
      <w:szCs w:val="28"/>
      <w:lang w:eastAsia="de-DE"/>
    </w:rPr>
  </w:style>
  <w:style w:type="paragraph" w:styleId="Literaturverzeichnis">
    <w:name w:val="Bibliography"/>
    <w:basedOn w:val="Standard"/>
    <w:next w:val="Standard"/>
    <w:uiPriority w:val="37"/>
    <w:unhideWhenUsed/>
    <w:rsid w:val="007A15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E191B"/>
    <w:pPr>
      <w:spacing w:after="0" w:line="360" w:lineRule="auto"/>
      <w:jc w:val="both"/>
    </w:pPr>
    <w:rPr>
      <w:rFonts w:ascii="Arial" w:hAnsi="Arial"/>
    </w:rPr>
  </w:style>
  <w:style w:type="paragraph" w:styleId="berschrift1">
    <w:name w:val="heading 1"/>
    <w:basedOn w:val="Standard"/>
    <w:next w:val="Standard"/>
    <w:link w:val="berschrift1Zchn"/>
    <w:uiPriority w:val="9"/>
    <w:qFormat/>
    <w:rsid w:val="007A1527"/>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224B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24B6"/>
    <w:rPr>
      <w:rFonts w:ascii="Tahoma" w:hAnsi="Tahoma" w:cs="Tahoma"/>
      <w:sz w:val="16"/>
      <w:szCs w:val="16"/>
    </w:rPr>
  </w:style>
  <w:style w:type="paragraph" w:styleId="StandardWeb">
    <w:name w:val="Normal (Web)"/>
    <w:basedOn w:val="Standard"/>
    <w:uiPriority w:val="99"/>
    <w:semiHidden/>
    <w:unhideWhenUsed/>
    <w:rsid w:val="001224B6"/>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1224B6"/>
    <w:pPr>
      <w:ind w:left="720"/>
      <w:contextualSpacing/>
    </w:pPr>
  </w:style>
  <w:style w:type="paragraph" w:styleId="Beschriftung">
    <w:name w:val="caption"/>
    <w:basedOn w:val="Standard"/>
    <w:next w:val="Standard"/>
    <w:uiPriority w:val="35"/>
    <w:unhideWhenUsed/>
    <w:qFormat/>
    <w:rsid w:val="00FA4D0F"/>
    <w:pPr>
      <w:spacing w:after="200" w:line="240" w:lineRule="auto"/>
    </w:pPr>
    <w:rPr>
      <w:b/>
      <w:bCs/>
      <w:color w:val="4F81BD" w:themeColor="accent1"/>
      <w:sz w:val="18"/>
      <w:szCs w:val="18"/>
    </w:rPr>
  </w:style>
  <w:style w:type="paragraph" w:styleId="Kopfzeile">
    <w:name w:val="header"/>
    <w:basedOn w:val="Standard"/>
    <w:link w:val="KopfzeileZchn"/>
    <w:uiPriority w:val="99"/>
    <w:unhideWhenUsed/>
    <w:rsid w:val="00DD3D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D3D8D"/>
    <w:rPr>
      <w:rFonts w:ascii="Arial" w:hAnsi="Arial"/>
    </w:rPr>
  </w:style>
  <w:style w:type="paragraph" w:styleId="Fuzeile">
    <w:name w:val="footer"/>
    <w:basedOn w:val="Standard"/>
    <w:link w:val="FuzeileZchn"/>
    <w:uiPriority w:val="99"/>
    <w:unhideWhenUsed/>
    <w:rsid w:val="00DD3D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D3D8D"/>
    <w:rPr>
      <w:rFonts w:ascii="Arial" w:hAnsi="Arial"/>
    </w:rPr>
  </w:style>
  <w:style w:type="character" w:customStyle="1" w:styleId="berschrift1Zchn">
    <w:name w:val="Überschrift 1 Zchn"/>
    <w:basedOn w:val="Absatz-Standardschriftart"/>
    <w:link w:val="berschrift1"/>
    <w:uiPriority w:val="9"/>
    <w:rsid w:val="007A1527"/>
    <w:rPr>
      <w:rFonts w:asciiTheme="majorHAnsi" w:eastAsiaTheme="majorEastAsia" w:hAnsiTheme="majorHAnsi" w:cstheme="majorBidi"/>
      <w:b/>
      <w:bCs/>
      <w:color w:val="365F91" w:themeColor="accent1" w:themeShade="BF"/>
      <w:sz w:val="28"/>
      <w:szCs w:val="28"/>
      <w:lang w:eastAsia="de-DE"/>
    </w:rPr>
  </w:style>
  <w:style w:type="paragraph" w:styleId="Literaturverzeichnis">
    <w:name w:val="Bibliography"/>
    <w:basedOn w:val="Standard"/>
    <w:next w:val="Standard"/>
    <w:uiPriority w:val="37"/>
    <w:unhideWhenUsed/>
    <w:rsid w:val="007A1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7998">
      <w:bodyDiv w:val="1"/>
      <w:marLeft w:val="0"/>
      <w:marRight w:val="0"/>
      <w:marTop w:val="0"/>
      <w:marBottom w:val="0"/>
      <w:divBdr>
        <w:top w:val="none" w:sz="0" w:space="0" w:color="auto"/>
        <w:left w:val="none" w:sz="0" w:space="0" w:color="auto"/>
        <w:bottom w:val="none" w:sz="0" w:space="0" w:color="auto"/>
        <w:right w:val="none" w:sz="0" w:space="0" w:color="auto"/>
      </w:divBdr>
      <w:divsChild>
        <w:div w:id="1159614893">
          <w:marLeft w:val="0"/>
          <w:marRight w:val="0"/>
          <w:marTop w:val="0"/>
          <w:marBottom w:val="0"/>
          <w:divBdr>
            <w:top w:val="none" w:sz="0" w:space="0" w:color="auto"/>
            <w:left w:val="none" w:sz="0" w:space="0" w:color="auto"/>
            <w:bottom w:val="none" w:sz="0" w:space="0" w:color="auto"/>
            <w:right w:val="none" w:sz="0" w:space="0" w:color="auto"/>
          </w:divBdr>
          <w:divsChild>
            <w:div w:id="850488429">
              <w:marLeft w:val="0"/>
              <w:marRight w:val="0"/>
              <w:marTop w:val="0"/>
              <w:marBottom w:val="0"/>
              <w:divBdr>
                <w:top w:val="none" w:sz="0" w:space="0" w:color="auto"/>
                <w:left w:val="none" w:sz="0" w:space="0" w:color="auto"/>
                <w:bottom w:val="none" w:sz="0" w:space="0" w:color="auto"/>
                <w:right w:val="none" w:sz="0" w:space="0" w:color="auto"/>
              </w:divBdr>
              <w:divsChild>
                <w:div w:id="364795698">
                  <w:marLeft w:val="0"/>
                  <w:marRight w:val="0"/>
                  <w:marTop w:val="0"/>
                  <w:marBottom w:val="0"/>
                  <w:divBdr>
                    <w:top w:val="none" w:sz="0" w:space="0" w:color="auto"/>
                    <w:left w:val="none" w:sz="0" w:space="0" w:color="auto"/>
                    <w:bottom w:val="none" w:sz="0" w:space="0" w:color="auto"/>
                    <w:right w:val="none" w:sz="0" w:space="0" w:color="auto"/>
                  </w:divBdr>
                  <w:divsChild>
                    <w:div w:id="1505509254">
                      <w:marLeft w:val="0"/>
                      <w:marRight w:val="0"/>
                      <w:marTop w:val="0"/>
                      <w:marBottom w:val="0"/>
                      <w:divBdr>
                        <w:top w:val="none" w:sz="0" w:space="0" w:color="auto"/>
                        <w:left w:val="none" w:sz="0" w:space="0" w:color="auto"/>
                        <w:bottom w:val="none" w:sz="0" w:space="0" w:color="auto"/>
                        <w:right w:val="none" w:sz="0" w:space="0" w:color="auto"/>
                      </w:divBdr>
                      <w:divsChild>
                        <w:div w:id="5065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7871">
      <w:bodyDiv w:val="1"/>
      <w:marLeft w:val="0"/>
      <w:marRight w:val="0"/>
      <w:marTop w:val="0"/>
      <w:marBottom w:val="0"/>
      <w:divBdr>
        <w:top w:val="none" w:sz="0" w:space="0" w:color="auto"/>
        <w:left w:val="none" w:sz="0" w:space="0" w:color="auto"/>
        <w:bottom w:val="none" w:sz="0" w:space="0" w:color="auto"/>
        <w:right w:val="none" w:sz="0" w:space="0" w:color="auto"/>
      </w:divBdr>
      <w:divsChild>
        <w:div w:id="454640238">
          <w:marLeft w:val="0"/>
          <w:marRight w:val="0"/>
          <w:marTop w:val="0"/>
          <w:marBottom w:val="0"/>
          <w:divBdr>
            <w:top w:val="none" w:sz="0" w:space="0" w:color="auto"/>
            <w:left w:val="none" w:sz="0" w:space="0" w:color="auto"/>
            <w:bottom w:val="none" w:sz="0" w:space="0" w:color="auto"/>
            <w:right w:val="none" w:sz="0" w:space="0" w:color="auto"/>
          </w:divBdr>
          <w:divsChild>
            <w:div w:id="2018380011">
              <w:marLeft w:val="0"/>
              <w:marRight w:val="0"/>
              <w:marTop w:val="0"/>
              <w:marBottom w:val="0"/>
              <w:divBdr>
                <w:top w:val="none" w:sz="0" w:space="0" w:color="auto"/>
                <w:left w:val="none" w:sz="0" w:space="0" w:color="auto"/>
                <w:bottom w:val="none" w:sz="0" w:space="0" w:color="auto"/>
                <w:right w:val="none" w:sz="0" w:space="0" w:color="auto"/>
              </w:divBdr>
              <w:divsChild>
                <w:div w:id="2088727950">
                  <w:marLeft w:val="0"/>
                  <w:marRight w:val="0"/>
                  <w:marTop w:val="0"/>
                  <w:marBottom w:val="0"/>
                  <w:divBdr>
                    <w:top w:val="none" w:sz="0" w:space="0" w:color="auto"/>
                    <w:left w:val="none" w:sz="0" w:space="0" w:color="auto"/>
                    <w:bottom w:val="none" w:sz="0" w:space="0" w:color="auto"/>
                    <w:right w:val="none" w:sz="0" w:space="0" w:color="auto"/>
                  </w:divBdr>
                  <w:divsChild>
                    <w:div w:id="1860502835">
                      <w:marLeft w:val="0"/>
                      <w:marRight w:val="0"/>
                      <w:marTop w:val="0"/>
                      <w:marBottom w:val="0"/>
                      <w:divBdr>
                        <w:top w:val="none" w:sz="0" w:space="0" w:color="auto"/>
                        <w:left w:val="none" w:sz="0" w:space="0" w:color="auto"/>
                        <w:bottom w:val="none" w:sz="0" w:space="0" w:color="auto"/>
                        <w:right w:val="none" w:sz="0" w:space="0" w:color="auto"/>
                      </w:divBdr>
                      <w:divsChild>
                        <w:div w:id="9252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8478">
      <w:bodyDiv w:val="1"/>
      <w:marLeft w:val="0"/>
      <w:marRight w:val="0"/>
      <w:marTop w:val="0"/>
      <w:marBottom w:val="0"/>
      <w:divBdr>
        <w:top w:val="none" w:sz="0" w:space="0" w:color="auto"/>
        <w:left w:val="none" w:sz="0" w:space="0" w:color="auto"/>
        <w:bottom w:val="none" w:sz="0" w:space="0" w:color="auto"/>
        <w:right w:val="none" w:sz="0" w:space="0" w:color="auto"/>
      </w:divBdr>
      <w:divsChild>
        <w:div w:id="916674863">
          <w:marLeft w:val="0"/>
          <w:marRight w:val="0"/>
          <w:marTop w:val="0"/>
          <w:marBottom w:val="0"/>
          <w:divBdr>
            <w:top w:val="none" w:sz="0" w:space="0" w:color="auto"/>
            <w:left w:val="none" w:sz="0" w:space="0" w:color="auto"/>
            <w:bottom w:val="none" w:sz="0" w:space="0" w:color="auto"/>
            <w:right w:val="none" w:sz="0" w:space="0" w:color="auto"/>
          </w:divBdr>
          <w:divsChild>
            <w:div w:id="2053996271">
              <w:marLeft w:val="0"/>
              <w:marRight w:val="0"/>
              <w:marTop w:val="0"/>
              <w:marBottom w:val="0"/>
              <w:divBdr>
                <w:top w:val="none" w:sz="0" w:space="0" w:color="auto"/>
                <w:left w:val="none" w:sz="0" w:space="0" w:color="auto"/>
                <w:bottom w:val="none" w:sz="0" w:space="0" w:color="auto"/>
                <w:right w:val="none" w:sz="0" w:space="0" w:color="auto"/>
              </w:divBdr>
              <w:divsChild>
                <w:div w:id="693305801">
                  <w:marLeft w:val="0"/>
                  <w:marRight w:val="0"/>
                  <w:marTop w:val="0"/>
                  <w:marBottom w:val="0"/>
                  <w:divBdr>
                    <w:top w:val="none" w:sz="0" w:space="0" w:color="auto"/>
                    <w:left w:val="none" w:sz="0" w:space="0" w:color="auto"/>
                    <w:bottom w:val="none" w:sz="0" w:space="0" w:color="auto"/>
                    <w:right w:val="none" w:sz="0" w:space="0" w:color="auto"/>
                  </w:divBdr>
                  <w:divsChild>
                    <w:div w:id="629558195">
                      <w:marLeft w:val="0"/>
                      <w:marRight w:val="0"/>
                      <w:marTop w:val="0"/>
                      <w:marBottom w:val="0"/>
                      <w:divBdr>
                        <w:top w:val="none" w:sz="0" w:space="0" w:color="auto"/>
                        <w:left w:val="none" w:sz="0" w:space="0" w:color="auto"/>
                        <w:bottom w:val="none" w:sz="0" w:space="0" w:color="auto"/>
                        <w:right w:val="none" w:sz="0" w:space="0" w:color="auto"/>
                      </w:divBdr>
                      <w:divsChild>
                        <w:div w:id="13363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790728">
      <w:bodyDiv w:val="1"/>
      <w:marLeft w:val="0"/>
      <w:marRight w:val="0"/>
      <w:marTop w:val="0"/>
      <w:marBottom w:val="0"/>
      <w:divBdr>
        <w:top w:val="none" w:sz="0" w:space="0" w:color="auto"/>
        <w:left w:val="none" w:sz="0" w:space="0" w:color="auto"/>
        <w:bottom w:val="none" w:sz="0" w:space="0" w:color="auto"/>
        <w:right w:val="none" w:sz="0" w:space="0" w:color="auto"/>
      </w:divBdr>
      <w:divsChild>
        <w:div w:id="1433090760">
          <w:marLeft w:val="0"/>
          <w:marRight w:val="0"/>
          <w:marTop w:val="0"/>
          <w:marBottom w:val="0"/>
          <w:divBdr>
            <w:top w:val="none" w:sz="0" w:space="0" w:color="auto"/>
            <w:left w:val="none" w:sz="0" w:space="0" w:color="auto"/>
            <w:bottom w:val="none" w:sz="0" w:space="0" w:color="auto"/>
            <w:right w:val="none" w:sz="0" w:space="0" w:color="auto"/>
          </w:divBdr>
          <w:divsChild>
            <w:div w:id="292637420">
              <w:marLeft w:val="0"/>
              <w:marRight w:val="0"/>
              <w:marTop w:val="0"/>
              <w:marBottom w:val="0"/>
              <w:divBdr>
                <w:top w:val="none" w:sz="0" w:space="0" w:color="auto"/>
                <w:left w:val="none" w:sz="0" w:space="0" w:color="auto"/>
                <w:bottom w:val="none" w:sz="0" w:space="0" w:color="auto"/>
                <w:right w:val="none" w:sz="0" w:space="0" w:color="auto"/>
              </w:divBdr>
              <w:divsChild>
                <w:div w:id="1603495446">
                  <w:marLeft w:val="0"/>
                  <w:marRight w:val="0"/>
                  <w:marTop w:val="0"/>
                  <w:marBottom w:val="0"/>
                  <w:divBdr>
                    <w:top w:val="none" w:sz="0" w:space="0" w:color="auto"/>
                    <w:left w:val="none" w:sz="0" w:space="0" w:color="auto"/>
                    <w:bottom w:val="none" w:sz="0" w:space="0" w:color="auto"/>
                    <w:right w:val="none" w:sz="0" w:space="0" w:color="auto"/>
                  </w:divBdr>
                  <w:divsChild>
                    <w:div w:id="1335719763">
                      <w:marLeft w:val="0"/>
                      <w:marRight w:val="0"/>
                      <w:marTop w:val="0"/>
                      <w:marBottom w:val="0"/>
                      <w:divBdr>
                        <w:top w:val="none" w:sz="0" w:space="0" w:color="auto"/>
                        <w:left w:val="none" w:sz="0" w:space="0" w:color="auto"/>
                        <w:bottom w:val="none" w:sz="0" w:space="0" w:color="auto"/>
                        <w:right w:val="none" w:sz="0" w:space="0" w:color="auto"/>
                      </w:divBdr>
                      <w:divsChild>
                        <w:div w:id="5844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182840">
      <w:bodyDiv w:val="1"/>
      <w:marLeft w:val="0"/>
      <w:marRight w:val="0"/>
      <w:marTop w:val="0"/>
      <w:marBottom w:val="0"/>
      <w:divBdr>
        <w:top w:val="none" w:sz="0" w:space="0" w:color="auto"/>
        <w:left w:val="none" w:sz="0" w:space="0" w:color="auto"/>
        <w:bottom w:val="none" w:sz="0" w:space="0" w:color="auto"/>
        <w:right w:val="none" w:sz="0" w:space="0" w:color="auto"/>
      </w:divBdr>
      <w:divsChild>
        <w:div w:id="154221866">
          <w:marLeft w:val="0"/>
          <w:marRight w:val="0"/>
          <w:marTop w:val="0"/>
          <w:marBottom w:val="0"/>
          <w:divBdr>
            <w:top w:val="none" w:sz="0" w:space="0" w:color="auto"/>
            <w:left w:val="none" w:sz="0" w:space="0" w:color="auto"/>
            <w:bottom w:val="none" w:sz="0" w:space="0" w:color="auto"/>
            <w:right w:val="none" w:sz="0" w:space="0" w:color="auto"/>
          </w:divBdr>
          <w:divsChild>
            <w:div w:id="2078240055">
              <w:marLeft w:val="0"/>
              <w:marRight w:val="0"/>
              <w:marTop w:val="0"/>
              <w:marBottom w:val="0"/>
              <w:divBdr>
                <w:top w:val="none" w:sz="0" w:space="0" w:color="auto"/>
                <w:left w:val="none" w:sz="0" w:space="0" w:color="auto"/>
                <w:bottom w:val="none" w:sz="0" w:space="0" w:color="auto"/>
                <w:right w:val="none" w:sz="0" w:space="0" w:color="auto"/>
              </w:divBdr>
              <w:divsChild>
                <w:div w:id="1502769163">
                  <w:marLeft w:val="0"/>
                  <w:marRight w:val="0"/>
                  <w:marTop w:val="0"/>
                  <w:marBottom w:val="0"/>
                  <w:divBdr>
                    <w:top w:val="none" w:sz="0" w:space="0" w:color="auto"/>
                    <w:left w:val="none" w:sz="0" w:space="0" w:color="auto"/>
                    <w:bottom w:val="none" w:sz="0" w:space="0" w:color="auto"/>
                    <w:right w:val="none" w:sz="0" w:space="0" w:color="auto"/>
                  </w:divBdr>
                  <w:divsChild>
                    <w:div w:id="654643951">
                      <w:marLeft w:val="0"/>
                      <w:marRight w:val="0"/>
                      <w:marTop w:val="0"/>
                      <w:marBottom w:val="0"/>
                      <w:divBdr>
                        <w:top w:val="none" w:sz="0" w:space="0" w:color="auto"/>
                        <w:left w:val="none" w:sz="0" w:space="0" w:color="auto"/>
                        <w:bottom w:val="none" w:sz="0" w:space="0" w:color="auto"/>
                        <w:right w:val="none" w:sz="0" w:space="0" w:color="auto"/>
                      </w:divBdr>
                      <w:divsChild>
                        <w:div w:id="13502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03711">
      <w:bodyDiv w:val="1"/>
      <w:marLeft w:val="0"/>
      <w:marRight w:val="0"/>
      <w:marTop w:val="0"/>
      <w:marBottom w:val="0"/>
      <w:divBdr>
        <w:top w:val="none" w:sz="0" w:space="0" w:color="auto"/>
        <w:left w:val="none" w:sz="0" w:space="0" w:color="auto"/>
        <w:bottom w:val="none" w:sz="0" w:space="0" w:color="auto"/>
        <w:right w:val="none" w:sz="0" w:space="0" w:color="auto"/>
      </w:divBdr>
      <w:divsChild>
        <w:div w:id="317880196">
          <w:marLeft w:val="0"/>
          <w:marRight w:val="0"/>
          <w:marTop w:val="0"/>
          <w:marBottom w:val="0"/>
          <w:divBdr>
            <w:top w:val="none" w:sz="0" w:space="0" w:color="auto"/>
            <w:left w:val="none" w:sz="0" w:space="0" w:color="auto"/>
            <w:bottom w:val="none" w:sz="0" w:space="0" w:color="auto"/>
            <w:right w:val="none" w:sz="0" w:space="0" w:color="auto"/>
          </w:divBdr>
          <w:divsChild>
            <w:div w:id="2136630323">
              <w:marLeft w:val="0"/>
              <w:marRight w:val="0"/>
              <w:marTop w:val="0"/>
              <w:marBottom w:val="0"/>
              <w:divBdr>
                <w:top w:val="none" w:sz="0" w:space="0" w:color="auto"/>
                <w:left w:val="none" w:sz="0" w:space="0" w:color="auto"/>
                <w:bottom w:val="none" w:sz="0" w:space="0" w:color="auto"/>
                <w:right w:val="none" w:sz="0" w:space="0" w:color="auto"/>
              </w:divBdr>
              <w:divsChild>
                <w:div w:id="558444681">
                  <w:marLeft w:val="0"/>
                  <w:marRight w:val="0"/>
                  <w:marTop w:val="0"/>
                  <w:marBottom w:val="0"/>
                  <w:divBdr>
                    <w:top w:val="none" w:sz="0" w:space="0" w:color="auto"/>
                    <w:left w:val="none" w:sz="0" w:space="0" w:color="auto"/>
                    <w:bottom w:val="none" w:sz="0" w:space="0" w:color="auto"/>
                    <w:right w:val="none" w:sz="0" w:space="0" w:color="auto"/>
                  </w:divBdr>
                  <w:divsChild>
                    <w:div w:id="533814149">
                      <w:marLeft w:val="0"/>
                      <w:marRight w:val="0"/>
                      <w:marTop w:val="0"/>
                      <w:marBottom w:val="0"/>
                      <w:divBdr>
                        <w:top w:val="none" w:sz="0" w:space="0" w:color="auto"/>
                        <w:left w:val="none" w:sz="0" w:space="0" w:color="auto"/>
                        <w:bottom w:val="none" w:sz="0" w:space="0" w:color="auto"/>
                        <w:right w:val="none" w:sz="0" w:space="0" w:color="auto"/>
                      </w:divBdr>
                      <w:divsChild>
                        <w:div w:id="10380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419432">
      <w:bodyDiv w:val="1"/>
      <w:marLeft w:val="0"/>
      <w:marRight w:val="0"/>
      <w:marTop w:val="0"/>
      <w:marBottom w:val="0"/>
      <w:divBdr>
        <w:top w:val="none" w:sz="0" w:space="0" w:color="auto"/>
        <w:left w:val="none" w:sz="0" w:space="0" w:color="auto"/>
        <w:bottom w:val="none" w:sz="0" w:space="0" w:color="auto"/>
        <w:right w:val="none" w:sz="0" w:space="0" w:color="auto"/>
      </w:divBdr>
      <w:divsChild>
        <w:div w:id="71322657">
          <w:marLeft w:val="0"/>
          <w:marRight w:val="0"/>
          <w:marTop w:val="0"/>
          <w:marBottom w:val="0"/>
          <w:divBdr>
            <w:top w:val="none" w:sz="0" w:space="0" w:color="auto"/>
            <w:left w:val="none" w:sz="0" w:space="0" w:color="auto"/>
            <w:bottom w:val="none" w:sz="0" w:space="0" w:color="auto"/>
            <w:right w:val="none" w:sz="0" w:space="0" w:color="auto"/>
          </w:divBdr>
          <w:divsChild>
            <w:div w:id="1686980570">
              <w:marLeft w:val="0"/>
              <w:marRight w:val="0"/>
              <w:marTop w:val="0"/>
              <w:marBottom w:val="0"/>
              <w:divBdr>
                <w:top w:val="none" w:sz="0" w:space="0" w:color="auto"/>
                <w:left w:val="none" w:sz="0" w:space="0" w:color="auto"/>
                <w:bottom w:val="none" w:sz="0" w:space="0" w:color="auto"/>
                <w:right w:val="none" w:sz="0" w:space="0" w:color="auto"/>
              </w:divBdr>
              <w:divsChild>
                <w:div w:id="166100413">
                  <w:marLeft w:val="0"/>
                  <w:marRight w:val="0"/>
                  <w:marTop w:val="0"/>
                  <w:marBottom w:val="0"/>
                  <w:divBdr>
                    <w:top w:val="none" w:sz="0" w:space="0" w:color="auto"/>
                    <w:left w:val="none" w:sz="0" w:space="0" w:color="auto"/>
                    <w:bottom w:val="none" w:sz="0" w:space="0" w:color="auto"/>
                    <w:right w:val="none" w:sz="0" w:space="0" w:color="auto"/>
                  </w:divBdr>
                  <w:divsChild>
                    <w:div w:id="743333067">
                      <w:marLeft w:val="0"/>
                      <w:marRight w:val="0"/>
                      <w:marTop w:val="0"/>
                      <w:marBottom w:val="0"/>
                      <w:divBdr>
                        <w:top w:val="none" w:sz="0" w:space="0" w:color="auto"/>
                        <w:left w:val="none" w:sz="0" w:space="0" w:color="auto"/>
                        <w:bottom w:val="none" w:sz="0" w:space="0" w:color="auto"/>
                        <w:right w:val="none" w:sz="0" w:space="0" w:color="auto"/>
                      </w:divBdr>
                      <w:divsChild>
                        <w:div w:id="13938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751733">
      <w:bodyDiv w:val="1"/>
      <w:marLeft w:val="0"/>
      <w:marRight w:val="0"/>
      <w:marTop w:val="0"/>
      <w:marBottom w:val="0"/>
      <w:divBdr>
        <w:top w:val="none" w:sz="0" w:space="0" w:color="auto"/>
        <w:left w:val="none" w:sz="0" w:space="0" w:color="auto"/>
        <w:bottom w:val="none" w:sz="0" w:space="0" w:color="auto"/>
        <w:right w:val="none" w:sz="0" w:space="0" w:color="auto"/>
      </w:divBdr>
      <w:divsChild>
        <w:div w:id="227347238">
          <w:marLeft w:val="0"/>
          <w:marRight w:val="0"/>
          <w:marTop w:val="0"/>
          <w:marBottom w:val="0"/>
          <w:divBdr>
            <w:top w:val="none" w:sz="0" w:space="0" w:color="auto"/>
            <w:left w:val="none" w:sz="0" w:space="0" w:color="auto"/>
            <w:bottom w:val="none" w:sz="0" w:space="0" w:color="auto"/>
            <w:right w:val="none" w:sz="0" w:space="0" w:color="auto"/>
          </w:divBdr>
          <w:divsChild>
            <w:div w:id="697512777">
              <w:marLeft w:val="0"/>
              <w:marRight w:val="0"/>
              <w:marTop w:val="0"/>
              <w:marBottom w:val="0"/>
              <w:divBdr>
                <w:top w:val="none" w:sz="0" w:space="0" w:color="auto"/>
                <w:left w:val="none" w:sz="0" w:space="0" w:color="auto"/>
                <w:bottom w:val="none" w:sz="0" w:space="0" w:color="auto"/>
                <w:right w:val="none" w:sz="0" w:space="0" w:color="auto"/>
              </w:divBdr>
              <w:divsChild>
                <w:div w:id="654918441">
                  <w:marLeft w:val="0"/>
                  <w:marRight w:val="0"/>
                  <w:marTop w:val="0"/>
                  <w:marBottom w:val="0"/>
                  <w:divBdr>
                    <w:top w:val="none" w:sz="0" w:space="0" w:color="auto"/>
                    <w:left w:val="none" w:sz="0" w:space="0" w:color="auto"/>
                    <w:bottom w:val="none" w:sz="0" w:space="0" w:color="auto"/>
                    <w:right w:val="none" w:sz="0" w:space="0" w:color="auto"/>
                  </w:divBdr>
                  <w:divsChild>
                    <w:div w:id="83887255">
                      <w:marLeft w:val="0"/>
                      <w:marRight w:val="0"/>
                      <w:marTop w:val="0"/>
                      <w:marBottom w:val="0"/>
                      <w:divBdr>
                        <w:top w:val="none" w:sz="0" w:space="0" w:color="auto"/>
                        <w:left w:val="none" w:sz="0" w:space="0" w:color="auto"/>
                        <w:bottom w:val="none" w:sz="0" w:space="0" w:color="auto"/>
                        <w:right w:val="none" w:sz="0" w:space="0" w:color="auto"/>
                      </w:divBdr>
                      <w:divsChild>
                        <w:div w:id="18894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24320">
      <w:bodyDiv w:val="1"/>
      <w:marLeft w:val="0"/>
      <w:marRight w:val="0"/>
      <w:marTop w:val="0"/>
      <w:marBottom w:val="0"/>
      <w:divBdr>
        <w:top w:val="none" w:sz="0" w:space="0" w:color="auto"/>
        <w:left w:val="none" w:sz="0" w:space="0" w:color="auto"/>
        <w:bottom w:val="none" w:sz="0" w:space="0" w:color="auto"/>
        <w:right w:val="none" w:sz="0" w:space="0" w:color="auto"/>
      </w:divBdr>
      <w:divsChild>
        <w:div w:id="1575506221">
          <w:marLeft w:val="0"/>
          <w:marRight w:val="0"/>
          <w:marTop w:val="0"/>
          <w:marBottom w:val="0"/>
          <w:divBdr>
            <w:top w:val="none" w:sz="0" w:space="0" w:color="auto"/>
            <w:left w:val="none" w:sz="0" w:space="0" w:color="auto"/>
            <w:bottom w:val="none" w:sz="0" w:space="0" w:color="auto"/>
            <w:right w:val="none" w:sz="0" w:space="0" w:color="auto"/>
          </w:divBdr>
          <w:divsChild>
            <w:div w:id="1312831344">
              <w:marLeft w:val="0"/>
              <w:marRight w:val="0"/>
              <w:marTop w:val="0"/>
              <w:marBottom w:val="0"/>
              <w:divBdr>
                <w:top w:val="none" w:sz="0" w:space="0" w:color="auto"/>
                <w:left w:val="none" w:sz="0" w:space="0" w:color="auto"/>
                <w:bottom w:val="none" w:sz="0" w:space="0" w:color="auto"/>
                <w:right w:val="none" w:sz="0" w:space="0" w:color="auto"/>
              </w:divBdr>
              <w:divsChild>
                <w:div w:id="1165852579">
                  <w:marLeft w:val="0"/>
                  <w:marRight w:val="0"/>
                  <w:marTop w:val="0"/>
                  <w:marBottom w:val="0"/>
                  <w:divBdr>
                    <w:top w:val="none" w:sz="0" w:space="0" w:color="auto"/>
                    <w:left w:val="none" w:sz="0" w:space="0" w:color="auto"/>
                    <w:bottom w:val="none" w:sz="0" w:space="0" w:color="auto"/>
                    <w:right w:val="none" w:sz="0" w:space="0" w:color="auto"/>
                  </w:divBdr>
                  <w:divsChild>
                    <w:div w:id="1046873387">
                      <w:marLeft w:val="0"/>
                      <w:marRight w:val="0"/>
                      <w:marTop w:val="0"/>
                      <w:marBottom w:val="0"/>
                      <w:divBdr>
                        <w:top w:val="none" w:sz="0" w:space="0" w:color="auto"/>
                        <w:left w:val="none" w:sz="0" w:space="0" w:color="auto"/>
                        <w:bottom w:val="none" w:sz="0" w:space="0" w:color="auto"/>
                        <w:right w:val="none" w:sz="0" w:space="0" w:color="auto"/>
                      </w:divBdr>
                      <w:divsChild>
                        <w:div w:id="17273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262680">
      <w:bodyDiv w:val="1"/>
      <w:marLeft w:val="0"/>
      <w:marRight w:val="0"/>
      <w:marTop w:val="0"/>
      <w:marBottom w:val="0"/>
      <w:divBdr>
        <w:top w:val="none" w:sz="0" w:space="0" w:color="auto"/>
        <w:left w:val="none" w:sz="0" w:space="0" w:color="auto"/>
        <w:bottom w:val="none" w:sz="0" w:space="0" w:color="auto"/>
        <w:right w:val="none" w:sz="0" w:space="0" w:color="auto"/>
      </w:divBdr>
    </w:div>
    <w:div w:id="1290163928">
      <w:bodyDiv w:val="1"/>
      <w:marLeft w:val="0"/>
      <w:marRight w:val="0"/>
      <w:marTop w:val="0"/>
      <w:marBottom w:val="0"/>
      <w:divBdr>
        <w:top w:val="none" w:sz="0" w:space="0" w:color="auto"/>
        <w:left w:val="none" w:sz="0" w:space="0" w:color="auto"/>
        <w:bottom w:val="none" w:sz="0" w:space="0" w:color="auto"/>
        <w:right w:val="none" w:sz="0" w:space="0" w:color="auto"/>
      </w:divBdr>
    </w:div>
    <w:div w:id="1308585609">
      <w:bodyDiv w:val="1"/>
      <w:marLeft w:val="0"/>
      <w:marRight w:val="0"/>
      <w:marTop w:val="0"/>
      <w:marBottom w:val="0"/>
      <w:divBdr>
        <w:top w:val="none" w:sz="0" w:space="0" w:color="auto"/>
        <w:left w:val="none" w:sz="0" w:space="0" w:color="auto"/>
        <w:bottom w:val="none" w:sz="0" w:space="0" w:color="auto"/>
        <w:right w:val="none" w:sz="0" w:space="0" w:color="auto"/>
      </w:divBdr>
      <w:divsChild>
        <w:div w:id="401291490">
          <w:marLeft w:val="0"/>
          <w:marRight w:val="0"/>
          <w:marTop w:val="0"/>
          <w:marBottom w:val="0"/>
          <w:divBdr>
            <w:top w:val="none" w:sz="0" w:space="0" w:color="auto"/>
            <w:left w:val="none" w:sz="0" w:space="0" w:color="auto"/>
            <w:bottom w:val="none" w:sz="0" w:space="0" w:color="auto"/>
            <w:right w:val="none" w:sz="0" w:space="0" w:color="auto"/>
          </w:divBdr>
          <w:divsChild>
            <w:div w:id="500777202">
              <w:marLeft w:val="0"/>
              <w:marRight w:val="0"/>
              <w:marTop w:val="0"/>
              <w:marBottom w:val="0"/>
              <w:divBdr>
                <w:top w:val="none" w:sz="0" w:space="0" w:color="auto"/>
                <w:left w:val="none" w:sz="0" w:space="0" w:color="auto"/>
                <w:bottom w:val="none" w:sz="0" w:space="0" w:color="auto"/>
                <w:right w:val="none" w:sz="0" w:space="0" w:color="auto"/>
              </w:divBdr>
              <w:divsChild>
                <w:div w:id="791704822">
                  <w:marLeft w:val="0"/>
                  <w:marRight w:val="0"/>
                  <w:marTop w:val="0"/>
                  <w:marBottom w:val="0"/>
                  <w:divBdr>
                    <w:top w:val="none" w:sz="0" w:space="0" w:color="auto"/>
                    <w:left w:val="none" w:sz="0" w:space="0" w:color="auto"/>
                    <w:bottom w:val="none" w:sz="0" w:space="0" w:color="auto"/>
                    <w:right w:val="none" w:sz="0" w:space="0" w:color="auto"/>
                  </w:divBdr>
                  <w:divsChild>
                    <w:div w:id="1895314300">
                      <w:marLeft w:val="0"/>
                      <w:marRight w:val="0"/>
                      <w:marTop w:val="0"/>
                      <w:marBottom w:val="0"/>
                      <w:divBdr>
                        <w:top w:val="none" w:sz="0" w:space="0" w:color="auto"/>
                        <w:left w:val="none" w:sz="0" w:space="0" w:color="auto"/>
                        <w:bottom w:val="none" w:sz="0" w:space="0" w:color="auto"/>
                        <w:right w:val="none" w:sz="0" w:space="0" w:color="auto"/>
                      </w:divBdr>
                      <w:divsChild>
                        <w:div w:id="10302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63540">
      <w:bodyDiv w:val="1"/>
      <w:marLeft w:val="0"/>
      <w:marRight w:val="0"/>
      <w:marTop w:val="0"/>
      <w:marBottom w:val="0"/>
      <w:divBdr>
        <w:top w:val="none" w:sz="0" w:space="0" w:color="auto"/>
        <w:left w:val="none" w:sz="0" w:space="0" w:color="auto"/>
        <w:bottom w:val="none" w:sz="0" w:space="0" w:color="auto"/>
        <w:right w:val="none" w:sz="0" w:space="0" w:color="auto"/>
      </w:divBdr>
      <w:divsChild>
        <w:div w:id="783619219">
          <w:marLeft w:val="0"/>
          <w:marRight w:val="0"/>
          <w:marTop w:val="0"/>
          <w:marBottom w:val="0"/>
          <w:divBdr>
            <w:top w:val="none" w:sz="0" w:space="0" w:color="auto"/>
            <w:left w:val="none" w:sz="0" w:space="0" w:color="auto"/>
            <w:bottom w:val="none" w:sz="0" w:space="0" w:color="auto"/>
            <w:right w:val="none" w:sz="0" w:space="0" w:color="auto"/>
          </w:divBdr>
          <w:divsChild>
            <w:div w:id="1966346129">
              <w:marLeft w:val="0"/>
              <w:marRight w:val="0"/>
              <w:marTop w:val="0"/>
              <w:marBottom w:val="0"/>
              <w:divBdr>
                <w:top w:val="none" w:sz="0" w:space="0" w:color="auto"/>
                <w:left w:val="none" w:sz="0" w:space="0" w:color="auto"/>
                <w:bottom w:val="none" w:sz="0" w:space="0" w:color="auto"/>
                <w:right w:val="none" w:sz="0" w:space="0" w:color="auto"/>
              </w:divBdr>
              <w:divsChild>
                <w:div w:id="2068868994">
                  <w:marLeft w:val="0"/>
                  <w:marRight w:val="0"/>
                  <w:marTop w:val="0"/>
                  <w:marBottom w:val="0"/>
                  <w:divBdr>
                    <w:top w:val="none" w:sz="0" w:space="0" w:color="auto"/>
                    <w:left w:val="none" w:sz="0" w:space="0" w:color="auto"/>
                    <w:bottom w:val="none" w:sz="0" w:space="0" w:color="auto"/>
                    <w:right w:val="none" w:sz="0" w:space="0" w:color="auto"/>
                  </w:divBdr>
                  <w:divsChild>
                    <w:div w:id="379525081">
                      <w:marLeft w:val="0"/>
                      <w:marRight w:val="0"/>
                      <w:marTop w:val="0"/>
                      <w:marBottom w:val="0"/>
                      <w:divBdr>
                        <w:top w:val="none" w:sz="0" w:space="0" w:color="auto"/>
                        <w:left w:val="none" w:sz="0" w:space="0" w:color="auto"/>
                        <w:bottom w:val="none" w:sz="0" w:space="0" w:color="auto"/>
                        <w:right w:val="none" w:sz="0" w:space="0" w:color="auto"/>
                      </w:divBdr>
                      <w:divsChild>
                        <w:div w:id="11457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19252">
      <w:bodyDiv w:val="1"/>
      <w:marLeft w:val="0"/>
      <w:marRight w:val="0"/>
      <w:marTop w:val="0"/>
      <w:marBottom w:val="0"/>
      <w:divBdr>
        <w:top w:val="none" w:sz="0" w:space="0" w:color="auto"/>
        <w:left w:val="none" w:sz="0" w:space="0" w:color="auto"/>
        <w:bottom w:val="none" w:sz="0" w:space="0" w:color="auto"/>
        <w:right w:val="none" w:sz="0" w:space="0" w:color="auto"/>
      </w:divBdr>
      <w:divsChild>
        <w:div w:id="2123113023">
          <w:marLeft w:val="806"/>
          <w:marRight w:val="0"/>
          <w:marTop w:val="0"/>
          <w:marBottom w:val="0"/>
          <w:divBdr>
            <w:top w:val="none" w:sz="0" w:space="0" w:color="auto"/>
            <w:left w:val="none" w:sz="0" w:space="0" w:color="auto"/>
            <w:bottom w:val="none" w:sz="0" w:space="0" w:color="auto"/>
            <w:right w:val="none" w:sz="0" w:space="0" w:color="auto"/>
          </w:divBdr>
        </w:div>
        <w:div w:id="1606838912">
          <w:marLeft w:val="806"/>
          <w:marRight w:val="0"/>
          <w:marTop w:val="0"/>
          <w:marBottom w:val="0"/>
          <w:divBdr>
            <w:top w:val="none" w:sz="0" w:space="0" w:color="auto"/>
            <w:left w:val="none" w:sz="0" w:space="0" w:color="auto"/>
            <w:bottom w:val="none" w:sz="0" w:space="0" w:color="auto"/>
            <w:right w:val="none" w:sz="0" w:space="0" w:color="auto"/>
          </w:divBdr>
        </w:div>
        <w:div w:id="156767554">
          <w:marLeft w:val="806"/>
          <w:marRight w:val="0"/>
          <w:marTop w:val="0"/>
          <w:marBottom w:val="0"/>
          <w:divBdr>
            <w:top w:val="none" w:sz="0" w:space="0" w:color="auto"/>
            <w:left w:val="none" w:sz="0" w:space="0" w:color="auto"/>
            <w:bottom w:val="none" w:sz="0" w:space="0" w:color="auto"/>
            <w:right w:val="none" w:sz="0" w:space="0" w:color="auto"/>
          </w:divBdr>
        </w:div>
        <w:div w:id="713584981">
          <w:marLeft w:val="806"/>
          <w:marRight w:val="0"/>
          <w:marTop w:val="0"/>
          <w:marBottom w:val="0"/>
          <w:divBdr>
            <w:top w:val="none" w:sz="0" w:space="0" w:color="auto"/>
            <w:left w:val="none" w:sz="0" w:space="0" w:color="auto"/>
            <w:bottom w:val="none" w:sz="0" w:space="0" w:color="auto"/>
            <w:right w:val="none" w:sz="0" w:space="0" w:color="auto"/>
          </w:divBdr>
        </w:div>
      </w:divsChild>
    </w:div>
    <w:div w:id="1931086931">
      <w:bodyDiv w:val="1"/>
      <w:marLeft w:val="0"/>
      <w:marRight w:val="0"/>
      <w:marTop w:val="0"/>
      <w:marBottom w:val="0"/>
      <w:divBdr>
        <w:top w:val="none" w:sz="0" w:space="0" w:color="auto"/>
        <w:left w:val="none" w:sz="0" w:space="0" w:color="auto"/>
        <w:bottom w:val="none" w:sz="0" w:space="0" w:color="auto"/>
        <w:right w:val="none" w:sz="0" w:space="0" w:color="auto"/>
      </w:divBdr>
      <w:divsChild>
        <w:div w:id="468745635">
          <w:marLeft w:val="562"/>
          <w:marRight w:val="0"/>
          <w:marTop w:val="120"/>
          <w:marBottom w:val="0"/>
          <w:divBdr>
            <w:top w:val="none" w:sz="0" w:space="0" w:color="auto"/>
            <w:left w:val="none" w:sz="0" w:space="0" w:color="auto"/>
            <w:bottom w:val="none" w:sz="0" w:space="0" w:color="auto"/>
            <w:right w:val="none" w:sz="0" w:space="0" w:color="auto"/>
          </w:divBdr>
        </w:div>
      </w:divsChild>
    </w:div>
    <w:div w:id="1949312769">
      <w:bodyDiv w:val="1"/>
      <w:marLeft w:val="0"/>
      <w:marRight w:val="0"/>
      <w:marTop w:val="0"/>
      <w:marBottom w:val="0"/>
      <w:divBdr>
        <w:top w:val="none" w:sz="0" w:space="0" w:color="auto"/>
        <w:left w:val="none" w:sz="0" w:space="0" w:color="auto"/>
        <w:bottom w:val="none" w:sz="0" w:space="0" w:color="auto"/>
        <w:right w:val="none" w:sz="0" w:space="0" w:color="auto"/>
      </w:divBdr>
      <w:divsChild>
        <w:div w:id="1409961829">
          <w:marLeft w:val="0"/>
          <w:marRight w:val="0"/>
          <w:marTop w:val="0"/>
          <w:marBottom w:val="0"/>
          <w:divBdr>
            <w:top w:val="none" w:sz="0" w:space="0" w:color="auto"/>
            <w:left w:val="none" w:sz="0" w:space="0" w:color="auto"/>
            <w:bottom w:val="none" w:sz="0" w:space="0" w:color="auto"/>
            <w:right w:val="none" w:sz="0" w:space="0" w:color="auto"/>
          </w:divBdr>
          <w:divsChild>
            <w:div w:id="532889093">
              <w:marLeft w:val="0"/>
              <w:marRight w:val="0"/>
              <w:marTop w:val="0"/>
              <w:marBottom w:val="0"/>
              <w:divBdr>
                <w:top w:val="none" w:sz="0" w:space="0" w:color="auto"/>
                <w:left w:val="none" w:sz="0" w:space="0" w:color="auto"/>
                <w:bottom w:val="none" w:sz="0" w:space="0" w:color="auto"/>
                <w:right w:val="none" w:sz="0" w:space="0" w:color="auto"/>
              </w:divBdr>
              <w:divsChild>
                <w:div w:id="82267025">
                  <w:marLeft w:val="0"/>
                  <w:marRight w:val="0"/>
                  <w:marTop w:val="0"/>
                  <w:marBottom w:val="0"/>
                  <w:divBdr>
                    <w:top w:val="none" w:sz="0" w:space="0" w:color="auto"/>
                    <w:left w:val="none" w:sz="0" w:space="0" w:color="auto"/>
                    <w:bottom w:val="none" w:sz="0" w:space="0" w:color="auto"/>
                    <w:right w:val="none" w:sz="0" w:space="0" w:color="auto"/>
                  </w:divBdr>
                  <w:divsChild>
                    <w:div w:id="2016489992">
                      <w:marLeft w:val="0"/>
                      <w:marRight w:val="0"/>
                      <w:marTop w:val="0"/>
                      <w:marBottom w:val="0"/>
                      <w:divBdr>
                        <w:top w:val="none" w:sz="0" w:space="0" w:color="auto"/>
                        <w:left w:val="none" w:sz="0" w:space="0" w:color="auto"/>
                        <w:bottom w:val="none" w:sz="0" w:space="0" w:color="auto"/>
                        <w:right w:val="none" w:sz="0" w:space="0" w:color="auto"/>
                      </w:divBdr>
                      <w:divsChild>
                        <w:div w:id="14384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80091">
      <w:bodyDiv w:val="1"/>
      <w:marLeft w:val="0"/>
      <w:marRight w:val="0"/>
      <w:marTop w:val="0"/>
      <w:marBottom w:val="0"/>
      <w:divBdr>
        <w:top w:val="none" w:sz="0" w:space="0" w:color="auto"/>
        <w:left w:val="none" w:sz="0" w:space="0" w:color="auto"/>
        <w:bottom w:val="none" w:sz="0" w:space="0" w:color="auto"/>
        <w:right w:val="none" w:sz="0" w:space="0" w:color="auto"/>
      </w:divBdr>
      <w:divsChild>
        <w:div w:id="1867865271">
          <w:marLeft w:val="0"/>
          <w:marRight w:val="0"/>
          <w:marTop w:val="0"/>
          <w:marBottom w:val="0"/>
          <w:divBdr>
            <w:top w:val="none" w:sz="0" w:space="0" w:color="auto"/>
            <w:left w:val="none" w:sz="0" w:space="0" w:color="auto"/>
            <w:bottom w:val="none" w:sz="0" w:space="0" w:color="auto"/>
            <w:right w:val="none" w:sz="0" w:space="0" w:color="auto"/>
          </w:divBdr>
          <w:divsChild>
            <w:div w:id="132800298">
              <w:marLeft w:val="0"/>
              <w:marRight w:val="0"/>
              <w:marTop w:val="0"/>
              <w:marBottom w:val="0"/>
              <w:divBdr>
                <w:top w:val="none" w:sz="0" w:space="0" w:color="auto"/>
                <w:left w:val="none" w:sz="0" w:space="0" w:color="auto"/>
                <w:bottom w:val="none" w:sz="0" w:space="0" w:color="auto"/>
                <w:right w:val="none" w:sz="0" w:space="0" w:color="auto"/>
              </w:divBdr>
              <w:divsChild>
                <w:div w:id="936064918">
                  <w:marLeft w:val="0"/>
                  <w:marRight w:val="0"/>
                  <w:marTop w:val="0"/>
                  <w:marBottom w:val="0"/>
                  <w:divBdr>
                    <w:top w:val="none" w:sz="0" w:space="0" w:color="auto"/>
                    <w:left w:val="none" w:sz="0" w:space="0" w:color="auto"/>
                    <w:bottom w:val="none" w:sz="0" w:space="0" w:color="auto"/>
                    <w:right w:val="none" w:sz="0" w:space="0" w:color="auto"/>
                  </w:divBdr>
                  <w:divsChild>
                    <w:div w:id="1635019064">
                      <w:marLeft w:val="0"/>
                      <w:marRight w:val="0"/>
                      <w:marTop w:val="0"/>
                      <w:marBottom w:val="0"/>
                      <w:divBdr>
                        <w:top w:val="none" w:sz="0" w:space="0" w:color="auto"/>
                        <w:left w:val="none" w:sz="0" w:space="0" w:color="auto"/>
                        <w:bottom w:val="none" w:sz="0" w:space="0" w:color="auto"/>
                        <w:right w:val="none" w:sz="0" w:space="0" w:color="auto"/>
                      </w:divBdr>
                      <w:divsChild>
                        <w:div w:id="6084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Pau93</b:Tag>
    <b:SourceType>Book</b:SourceType>
    <b:Guid>{08A89A1C-300C-4E9E-9B23-92E025D77EC5}</b:Guid>
    <b:Title>Kleine sächsische Landeskunde</b:Title>
    <b:Year>1993</b:Year>
    <b:Pages>27-60</b:Pages>
    <b:Author>
      <b:Author>
        <b:NameList>
          <b:Person>
            <b:Last>Maerker</b:Last>
            <b:First>L.</b:First>
          </b:Person>
          <b:Person>
            <b:Last>Paulig</b:Last>
            <b:First>H.</b:First>
          </b:Person>
        </b:NameList>
      </b:Author>
    </b:Author>
    <b:City>Dresden</b:City>
    <b:Publisher>Hellerau-Verlag</b:Publisher>
    <b:RefOrder>1</b:RefOrder>
  </b:Source>
</b:Sources>
</file>

<file path=customXml/itemProps1.xml><?xml version="1.0" encoding="utf-8"?>
<ds:datastoreItem xmlns:ds="http://schemas.openxmlformats.org/officeDocument/2006/customXml" ds:itemID="{50E5C9DA-4EC0-48F5-88A1-8BEC2D68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1867</Words>
  <Characters>11764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SID NLL</Company>
  <LinksUpToDate>false</LinksUpToDate>
  <CharactersWithSpaces>13604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Müller, Tino - LfULG</dc:creator>
  <cp:lastModifiedBy>Müller, Tino - LfULG</cp:lastModifiedBy>
  <cp:revision>15</cp:revision>
  <dcterms:created xsi:type="dcterms:W3CDTF">2018-01-11T10:30:00Z</dcterms:created>
  <dcterms:modified xsi:type="dcterms:W3CDTF">2018-05-28T05:23:00Z</dcterms:modified>
</cp:coreProperties>
</file>